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5190E" w14:textId="77777777" w:rsidR="00DA3A01" w:rsidRPr="0066624F" w:rsidRDefault="00DA3A01" w:rsidP="008019BD">
      <w:pPr>
        <w:ind w:right="47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6624F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C58C53D" wp14:editId="7493BD27">
            <wp:extent cx="457200" cy="5016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F1DA7" w14:textId="0827A994" w:rsidR="00DA3A01" w:rsidRPr="008019BD" w:rsidRDefault="00DA3A01" w:rsidP="008019B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ind w:right="474"/>
        <w:jc w:val="center"/>
        <w:rPr>
          <w:rFonts w:ascii="Times New Roman" w:hAnsi="Times New Roman"/>
          <w:sz w:val="56"/>
          <w:szCs w:val="56"/>
        </w:rPr>
      </w:pPr>
      <w:r w:rsidRPr="008019BD">
        <w:rPr>
          <w:rFonts w:ascii="Times New Roman" w:hAnsi="Times New Roman"/>
          <w:sz w:val="56"/>
          <w:szCs w:val="56"/>
        </w:rPr>
        <w:t>TRIBUNALE di GENOVA</w:t>
      </w:r>
    </w:p>
    <w:p w14:paraId="03317B45" w14:textId="77777777" w:rsidR="00DA3A01" w:rsidRPr="003174E8" w:rsidRDefault="00DA3A01" w:rsidP="008019B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ind w:right="474"/>
        <w:jc w:val="center"/>
        <w:rPr>
          <w:rFonts w:ascii="Times New Roman" w:hAnsi="Times New Roman"/>
          <w:sz w:val="36"/>
          <w:szCs w:val="36"/>
        </w:rPr>
      </w:pPr>
      <w:r w:rsidRPr="003174E8">
        <w:rPr>
          <w:rFonts w:ascii="Times New Roman" w:hAnsi="Times New Roman"/>
          <w:sz w:val="36"/>
          <w:szCs w:val="36"/>
        </w:rPr>
        <w:t>Sezione VII Civile – Fallimentare</w:t>
      </w:r>
    </w:p>
    <w:p w14:paraId="1C52B340" w14:textId="77777777" w:rsidR="00DA3A01" w:rsidRPr="0066624F" w:rsidRDefault="00DA3A01" w:rsidP="008019BD">
      <w:pPr>
        <w:spacing w:after="120" w:line="240" w:lineRule="auto"/>
        <w:ind w:right="474" w:firstLine="567"/>
        <w:jc w:val="center"/>
        <w:rPr>
          <w:rFonts w:ascii="Times New Roman" w:hAnsi="Times New Roman"/>
          <w:i/>
          <w:sz w:val="28"/>
          <w:szCs w:val="28"/>
        </w:rPr>
      </w:pPr>
      <w:r w:rsidRPr="0066624F">
        <w:rPr>
          <w:rFonts w:ascii="Times New Roman" w:hAnsi="Times New Roman"/>
          <w:i/>
          <w:sz w:val="28"/>
          <w:szCs w:val="28"/>
        </w:rPr>
        <w:t>Il Presidente di Sezione</w:t>
      </w:r>
    </w:p>
    <w:p w14:paraId="2BB36609" w14:textId="2A248EE1" w:rsidR="00DA3A01" w:rsidRPr="008019BD" w:rsidRDefault="00DA3A01" w:rsidP="008019BD">
      <w:pPr>
        <w:spacing w:after="0" w:line="240" w:lineRule="auto"/>
        <w:ind w:right="474"/>
        <w:rPr>
          <w:rFonts w:ascii="Times New Roman" w:hAnsi="Times New Roman"/>
          <w:b/>
          <w:i/>
          <w:sz w:val="36"/>
          <w:szCs w:val="36"/>
        </w:rPr>
      </w:pPr>
      <w:r w:rsidRPr="008019BD">
        <w:rPr>
          <w:rFonts w:ascii="Times New Roman" w:hAnsi="Times New Roman"/>
          <w:b/>
          <w:i/>
          <w:sz w:val="36"/>
          <w:szCs w:val="36"/>
        </w:rPr>
        <w:t>Ai sigg.ri Curatori fallimentari</w:t>
      </w:r>
    </w:p>
    <w:p w14:paraId="1C5E3233" w14:textId="77777777" w:rsidR="00DA3A01" w:rsidRDefault="00DA3A01" w:rsidP="008019BD">
      <w:pPr>
        <w:spacing w:after="0" w:line="240" w:lineRule="auto"/>
        <w:ind w:right="47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(via Fallco-Telegram e Ordini Professionali)</w:t>
      </w:r>
    </w:p>
    <w:p w14:paraId="64B89A94" w14:textId="77777777" w:rsidR="00DA3A01" w:rsidRPr="0066624F" w:rsidRDefault="00DA3A01" w:rsidP="008019BD">
      <w:pPr>
        <w:spacing w:after="0" w:line="240" w:lineRule="auto"/>
        <w:ind w:right="47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</w:t>
      </w:r>
      <w:r w:rsidRPr="0066624F">
        <w:rPr>
          <w:rFonts w:ascii="Times New Roman" w:hAnsi="Times New Roman"/>
          <w:sz w:val="28"/>
          <w:szCs w:val="28"/>
        </w:rPr>
        <w:t>e, per conoscenza:</w:t>
      </w:r>
    </w:p>
    <w:p w14:paraId="190F079E" w14:textId="7A41C99A" w:rsidR="00DA3A01" w:rsidRPr="008019BD" w:rsidRDefault="00DA3A01" w:rsidP="008019BD">
      <w:pPr>
        <w:spacing w:after="0" w:line="240" w:lineRule="auto"/>
        <w:ind w:right="474"/>
        <w:jc w:val="right"/>
        <w:rPr>
          <w:rFonts w:ascii="Times New Roman" w:hAnsi="Times New Roman"/>
          <w:i/>
          <w:sz w:val="28"/>
          <w:szCs w:val="28"/>
        </w:rPr>
      </w:pPr>
      <w:r w:rsidRPr="008019BD">
        <w:rPr>
          <w:rFonts w:ascii="Times New Roman" w:hAnsi="Times New Roman"/>
          <w:i/>
          <w:sz w:val="28"/>
          <w:szCs w:val="28"/>
        </w:rPr>
        <w:t xml:space="preserve">                </w:t>
      </w:r>
      <w:r w:rsidR="008019BD" w:rsidRPr="008019BD">
        <w:rPr>
          <w:rFonts w:ascii="Times New Roman" w:hAnsi="Times New Roman"/>
          <w:i/>
          <w:sz w:val="28"/>
          <w:szCs w:val="28"/>
        </w:rPr>
        <w:t xml:space="preserve">                          </w:t>
      </w:r>
      <w:r w:rsidRPr="008019BD">
        <w:rPr>
          <w:rFonts w:ascii="Times New Roman" w:hAnsi="Times New Roman"/>
          <w:i/>
          <w:sz w:val="28"/>
          <w:szCs w:val="28"/>
        </w:rPr>
        <w:t xml:space="preserve">  Ai Colleghi Magistrati Togati</w:t>
      </w:r>
    </w:p>
    <w:p w14:paraId="70A408CB" w14:textId="24D11C9C" w:rsidR="00DA3A01" w:rsidRPr="008019BD" w:rsidRDefault="00DA3A01" w:rsidP="008019BD">
      <w:pPr>
        <w:spacing w:after="0" w:line="240" w:lineRule="auto"/>
        <w:ind w:right="474"/>
        <w:jc w:val="right"/>
        <w:rPr>
          <w:rFonts w:ascii="Times New Roman" w:hAnsi="Times New Roman"/>
          <w:i/>
          <w:sz w:val="28"/>
          <w:szCs w:val="28"/>
        </w:rPr>
      </w:pPr>
      <w:r w:rsidRPr="008019BD">
        <w:rPr>
          <w:rFonts w:ascii="Times New Roman" w:hAnsi="Times New Roman"/>
          <w:i/>
          <w:sz w:val="28"/>
          <w:szCs w:val="28"/>
        </w:rPr>
        <w:tab/>
      </w:r>
      <w:r w:rsidRPr="008019BD">
        <w:rPr>
          <w:rFonts w:ascii="Times New Roman" w:hAnsi="Times New Roman"/>
          <w:i/>
          <w:sz w:val="28"/>
          <w:szCs w:val="28"/>
        </w:rPr>
        <w:tab/>
        <w:t xml:space="preserve">     Al Dirigente Cancelleria Sezione VII  Fallimenti</w:t>
      </w:r>
    </w:p>
    <w:p w14:paraId="3D1566A4" w14:textId="77777777" w:rsidR="008019BD" w:rsidRDefault="008019BD" w:rsidP="008019BD">
      <w:pPr>
        <w:spacing w:after="0" w:line="240" w:lineRule="auto"/>
        <w:ind w:right="474"/>
        <w:jc w:val="right"/>
        <w:rPr>
          <w:rFonts w:ascii="Times New Roman" w:hAnsi="Times New Roman"/>
          <w:sz w:val="28"/>
          <w:szCs w:val="28"/>
        </w:rPr>
      </w:pPr>
    </w:p>
    <w:p w14:paraId="5FF25020" w14:textId="77777777" w:rsidR="00DA3A01" w:rsidRPr="0066624F" w:rsidRDefault="00DA3A01" w:rsidP="008019BD">
      <w:pPr>
        <w:spacing w:after="0" w:line="240" w:lineRule="auto"/>
        <w:ind w:right="474"/>
        <w:jc w:val="right"/>
        <w:rPr>
          <w:rFonts w:ascii="Times New Roman" w:hAnsi="Times New Roman"/>
          <w:sz w:val="28"/>
          <w:szCs w:val="28"/>
        </w:rPr>
      </w:pPr>
    </w:p>
    <w:p w14:paraId="6DF8C98B" w14:textId="09EE03D9" w:rsidR="00DA3A01" w:rsidRDefault="00DA3A01" w:rsidP="008019BD">
      <w:pPr>
        <w:spacing w:line="240" w:lineRule="auto"/>
        <w:ind w:right="474"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366A48">
        <w:rPr>
          <w:rFonts w:ascii="Times New Roman" w:hAnsi="Times New Roman"/>
          <w:b/>
          <w:sz w:val="36"/>
          <w:szCs w:val="36"/>
          <w:u w:val="single"/>
        </w:rPr>
        <w:t xml:space="preserve">DISPOSIZIONE ORGANIZZATIVA n. </w:t>
      </w:r>
      <w:r>
        <w:rPr>
          <w:rFonts w:ascii="Times New Roman" w:hAnsi="Times New Roman"/>
          <w:b/>
          <w:sz w:val="36"/>
          <w:szCs w:val="36"/>
          <w:u w:val="single"/>
        </w:rPr>
        <w:t>1</w:t>
      </w:r>
      <w:r w:rsidR="002724F9">
        <w:rPr>
          <w:rFonts w:ascii="Times New Roman" w:hAnsi="Times New Roman"/>
          <w:b/>
          <w:sz w:val="36"/>
          <w:szCs w:val="36"/>
          <w:u w:val="single"/>
        </w:rPr>
        <w:t>bis</w:t>
      </w:r>
      <w:r>
        <w:rPr>
          <w:rFonts w:ascii="Times New Roman" w:hAnsi="Times New Roman"/>
          <w:b/>
          <w:sz w:val="36"/>
          <w:szCs w:val="36"/>
          <w:u w:val="single"/>
        </w:rPr>
        <w:t>/2022</w:t>
      </w:r>
    </w:p>
    <w:p w14:paraId="047F35FB" w14:textId="3BCAE005" w:rsidR="00DA3A01" w:rsidRPr="00DA3A01" w:rsidRDefault="002724F9" w:rsidP="002724F9">
      <w:pPr>
        <w:spacing w:line="240" w:lineRule="auto"/>
        <w:ind w:right="474" w:firstLine="567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Correzione alle </w:t>
      </w:r>
      <w:r w:rsidR="00DA3A01" w:rsidRPr="00DA3A01">
        <w:rPr>
          <w:rFonts w:ascii="Times New Roman" w:hAnsi="Times New Roman"/>
          <w:b/>
          <w:i/>
          <w:sz w:val="32"/>
          <w:szCs w:val="32"/>
          <w:u w:val="single"/>
        </w:rPr>
        <w:t>INDICAZIONI OPERATIVE per le VENDITE IMMOBILIARI</w:t>
      </w:r>
    </w:p>
    <w:p w14:paraId="27628CF6" w14:textId="321D43E6" w:rsidR="00BD7914" w:rsidRDefault="002724F9" w:rsidP="002724F9">
      <w:pPr>
        <w:widowControl w:val="0"/>
        <w:autoSpaceDE w:val="0"/>
        <w:autoSpaceDN w:val="0"/>
        <w:adjustRightInd w:val="0"/>
        <w:spacing w:after="0" w:line="240" w:lineRule="auto"/>
        <w:ind w:right="474"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Genova, </w:t>
      </w:r>
      <w:r w:rsidR="00327370">
        <w:rPr>
          <w:rFonts w:ascii="Times New Roman" w:hAnsi="Times New Roman"/>
          <w:sz w:val="28"/>
          <w:szCs w:val="28"/>
        </w:rPr>
        <w:t>11 marzo</w:t>
      </w:r>
      <w:r>
        <w:rPr>
          <w:rFonts w:ascii="Times New Roman" w:hAnsi="Times New Roman"/>
          <w:sz w:val="28"/>
          <w:szCs w:val="28"/>
        </w:rPr>
        <w:t xml:space="preserve"> 2022</w:t>
      </w:r>
    </w:p>
    <w:p w14:paraId="7100E319" w14:textId="77777777" w:rsidR="002724F9" w:rsidRDefault="002724F9" w:rsidP="002724F9">
      <w:pPr>
        <w:widowControl w:val="0"/>
        <w:autoSpaceDE w:val="0"/>
        <w:autoSpaceDN w:val="0"/>
        <w:adjustRightInd w:val="0"/>
        <w:spacing w:after="0" w:line="240" w:lineRule="auto"/>
        <w:ind w:right="474" w:firstLine="851"/>
        <w:jc w:val="right"/>
        <w:rPr>
          <w:rFonts w:ascii="Times New Roman" w:hAnsi="Times New Roman"/>
          <w:sz w:val="28"/>
          <w:szCs w:val="28"/>
        </w:rPr>
      </w:pPr>
    </w:p>
    <w:p w14:paraId="2B7718C4" w14:textId="626C84D4" w:rsidR="002724F9" w:rsidRDefault="002724F9" w:rsidP="008019BD">
      <w:pPr>
        <w:widowControl w:val="0"/>
        <w:autoSpaceDE w:val="0"/>
        <w:autoSpaceDN w:val="0"/>
        <w:adjustRightInd w:val="0"/>
        <w:spacing w:after="0" w:line="240" w:lineRule="auto"/>
        <w:ind w:right="47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 Disposizione Organizzativa n. 1/2022 del 6 febbraio u.s. sono state fornite nuove indicazioni operative ai Curatori fallimentari per quanto riguarda le procedure autorizzative e liquidatorie inerenti le vendite immobiliari.</w:t>
      </w:r>
    </w:p>
    <w:p w14:paraId="4B92F5F5" w14:textId="27C29118" w:rsidR="002724F9" w:rsidRDefault="002724F9" w:rsidP="008019BD">
      <w:pPr>
        <w:widowControl w:val="0"/>
        <w:autoSpaceDE w:val="0"/>
        <w:autoSpaceDN w:val="0"/>
        <w:adjustRightInd w:val="0"/>
        <w:spacing w:after="0" w:line="240" w:lineRule="auto"/>
        <w:ind w:right="47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Nel primo periodo di applicazione e verifica della direttiva sono pervenute una serie di richieste di chiarimenti che rendono opportuna </w:t>
      </w:r>
      <w:r w:rsidR="006305D1">
        <w:rPr>
          <w:rFonts w:ascii="Times New Roman" w:hAnsi="Times New Roman"/>
          <w:sz w:val="28"/>
          <w:szCs w:val="28"/>
        </w:rPr>
        <w:t xml:space="preserve">le delucidazioni del caso e </w:t>
      </w:r>
      <w:r>
        <w:rPr>
          <w:rFonts w:ascii="Times New Roman" w:hAnsi="Times New Roman"/>
          <w:sz w:val="28"/>
          <w:szCs w:val="28"/>
        </w:rPr>
        <w:t>l’emanazione di integrazioni della disposizione in questione.</w:t>
      </w:r>
    </w:p>
    <w:p w14:paraId="7B0DB7E4" w14:textId="3100BCB3" w:rsidR="002724F9" w:rsidRDefault="002724F9" w:rsidP="008019BD">
      <w:pPr>
        <w:widowControl w:val="0"/>
        <w:autoSpaceDE w:val="0"/>
        <w:autoSpaceDN w:val="0"/>
        <w:adjustRightInd w:val="0"/>
        <w:spacing w:after="0" w:line="240" w:lineRule="auto"/>
        <w:ind w:right="47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 tal senso:</w:t>
      </w:r>
    </w:p>
    <w:p w14:paraId="258537F3" w14:textId="6E450495" w:rsidR="006305D1" w:rsidRPr="006305D1" w:rsidRDefault="006305D1" w:rsidP="006305D1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474"/>
        <w:jc w:val="both"/>
        <w:rPr>
          <w:rFonts w:ascii="Times New Roman" w:hAnsi="Times New Roman"/>
          <w:sz w:val="28"/>
          <w:szCs w:val="28"/>
        </w:rPr>
      </w:pPr>
      <w:r w:rsidRPr="000113DC">
        <w:rPr>
          <w:rFonts w:ascii="Times New Roman" w:hAnsi="Times New Roman"/>
          <w:sz w:val="28"/>
          <w:szCs w:val="28"/>
          <w:u w:val="single"/>
        </w:rPr>
        <w:lastRenderedPageBreak/>
        <w:t>nella pag. 1</w:t>
      </w:r>
      <w:r w:rsidRPr="006305D1">
        <w:rPr>
          <w:rFonts w:ascii="Times New Roman" w:hAnsi="Times New Roman"/>
          <w:sz w:val="28"/>
          <w:szCs w:val="28"/>
        </w:rPr>
        <w:t>, quando si parla di “</w:t>
      </w:r>
      <w:r w:rsidRPr="00375CFA">
        <w:rPr>
          <w:rFonts w:ascii="Times New Roman" w:hAnsi="Times New Roman"/>
          <w:i/>
          <w:sz w:val="28"/>
          <w:szCs w:val="28"/>
        </w:rPr>
        <w:t>incommerciabilità dei ben</w:t>
      </w:r>
      <w:r w:rsidRPr="006305D1">
        <w:rPr>
          <w:rFonts w:ascii="Times New Roman" w:hAnsi="Times New Roman"/>
          <w:sz w:val="28"/>
          <w:szCs w:val="28"/>
        </w:rPr>
        <w:t>i”, rappresentandosi perciò l</w:t>
      </w:r>
      <w:r>
        <w:rPr>
          <w:rFonts w:ascii="Times New Roman" w:hAnsi="Times New Roman"/>
          <w:sz w:val="28"/>
          <w:szCs w:val="28"/>
        </w:rPr>
        <w:t>’</w:t>
      </w:r>
      <w:r w:rsidRPr="006305D1">
        <w:rPr>
          <w:rFonts w:ascii="Times New Roman" w:hAnsi="Times New Roman"/>
          <w:sz w:val="28"/>
          <w:szCs w:val="28"/>
        </w:rPr>
        <w:t xml:space="preserve">esigenza di una precisa verifica di titolarità dell’immobile in capo al Fallimento, si </w:t>
      </w:r>
      <w:r>
        <w:rPr>
          <w:rFonts w:ascii="Times New Roman" w:hAnsi="Times New Roman"/>
          <w:sz w:val="28"/>
          <w:szCs w:val="28"/>
        </w:rPr>
        <w:t xml:space="preserve">vuole </w:t>
      </w:r>
      <w:r w:rsidRPr="006305D1">
        <w:rPr>
          <w:rFonts w:ascii="Times New Roman" w:hAnsi="Times New Roman"/>
          <w:sz w:val="28"/>
          <w:szCs w:val="28"/>
        </w:rPr>
        <w:t>sottolinea</w:t>
      </w:r>
      <w:r>
        <w:rPr>
          <w:rFonts w:ascii="Times New Roman" w:hAnsi="Times New Roman"/>
          <w:sz w:val="28"/>
          <w:szCs w:val="28"/>
        </w:rPr>
        <w:t xml:space="preserve">re in particolare </w:t>
      </w:r>
      <w:r w:rsidRPr="006305D1">
        <w:rPr>
          <w:rFonts w:ascii="Times New Roman" w:hAnsi="Times New Roman"/>
          <w:sz w:val="28"/>
          <w:szCs w:val="28"/>
        </w:rPr>
        <w:t xml:space="preserve"> l’esigenza di verificare che non siano sopravvenuti provvediment</w:t>
      </w:r>
      <w:r w:rsidR="00375CFA">
        <w:rPr>
          <w:rFonts w:ascii="Times New Roman" w:hAnsi="Times New Roman"/>
          <w:sz w:val="28"/>
          <w:szCs w:val="28"/>
        </w:rPr>
        <w:t>i</w:t>
      </w:r>
      <w:r w:rsidRPr="006305D1">
        <w:rPr>
          <w:rFonts w:ascii="Times New Roman" w:hAnsi="Times New Roman"/>
          <w:sz w:val="28"/>
          <w:szCs w:val="28"/>
        </w:rPr>
        <w:t xml:space="preserve"> di </w:t>
      </w:r>
      <w:r w:rsidRPr="00375CFA">
        <w:rPr>
          <w:rFonts w:ascii="Times New Roman" w:hAnsi="Times New Roman"/>
          <w:b/>
          <w:sz w:val="28"/>
          <w:szCs w:val="28"/>
        </w:rPr>
        <w:t>sequestro in sede penale</w:t>
      </w:r>
      <w:r w:rsidRPr="006305D1">
        <w:rPr>
          <w:rFonts w:ascii="Times New Roman" w:hAnsi="Times New Roman"/>
          <w:sz w:val="28"/>
          <w:szCs w:val="28"/>
        </w:rPr>
        <w:t xml:space="preserve"> che, secondo recente giurisprudenza</w:t>
      </w:r>
      <w:r w:rsidR="00375CFA">
        <w:rPr>
          <w:rFonts w:ascii="Times New Roman" w:hAnsi="Times New Roman"/>
          <w:sz w:val="28"/>
          <w:szCs w:val="28"/>
        </w:rPr>
        <w:t xml:space="preserve"> di legittimità</w:t>
      </w:r>
      <w:r w:rsidRPr="006305D1">
        <w:rPr>
          <w:rFonts w:ascii="Times New Roman" w:hAnsi="Times New Roman"/>
          <w:sz w:val="28"/>
          <w:szCs w:val="28"/>
        </w:rPr>
        <w:t xml:space="preserve">, prevalgono su </w:t>
      </w:r>
      <w:r w:rsidR="00327370">
        <w:rPr>
          <w:rFonts w:ascii="Times New Roman" w:hAnsi="Times New Roman"/>
          <w:sz w:val="28"/>
          <w:szCs w:val="28"/>
        </w:rPr>
        <w:t xml:space="preserve">iscrizioni, </w:t>
      </w:r>
      <w:r w:rsidRPr="006305D1">
        <w:rPr>
          <w:rFonts w:ascii="Times New Roman" w:hAnsi="Times New Roman"/>
          <w:sz w:val="28"/>
          <w:szCs w:val="28"/>
        </w:rPr>
        <w:t xml:space="preserve">trascrizioni e pignoramenti </w:t>
      </w:r>
      <w:r w:rsidR="008A6917">
        <w:rPr>
          <w:rFonts w:ascii="Times New Roman" w:hAnsi="Times New Roman"/>
          <w:sz w:val="28"/>
          <w:szCs w:val="28"/>
        </w:rPr>
        <w:t xml:space="preserve">(anche precedenti) eseguiti </w:t>
      </w:r>
      <w:r w:rsidRPr="006305D1">
        <w:rPr>
          <w:rFonts w:ascii="Times New Roman" w:hAnsi="Times New Roman"/>
          <w:sz w:val="28"/>
          <w:szCs w:val="28"/>
        </w:rPr>
        <w:t>in sede civile;</w:t>
      </w:r>
    </w:p>
    <w:p w14:paraId="6B497C28" w14:textId="4DA368F2" w:rsidR="006305D1" w:rsidRPr="006305D1" w:rsidRDefault="006305D1" w:rsidP="006305D1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474"/>
        <w:jc w:val="both"/>
        <w:rPr>
          <w:rFonts w:ascii="Times New Roman" w:hAnsi="Times New Roman"/>
          <w:sz w:val="28"/>
          <w:szCs w:val="28"/>
        </w:rPr>
      </w:pPr>
      <w:r w:rsidRPr="000113DC">
        <w:rPr>
          <w:rFonts w:ascii="Times New Roman" w:hAnsi="Times New Roman"/>
          <w:sz w:val="28"/>
          <w:szCs w:val="28"/>
          <w:u w:val="single"/>
        </w:rPr>
        <w:t>nella pag. 2</w:t>
      </w:r>
      <w:r w:rsidRPr="006305D1">
        <w:rPr>
          <w:rFonts w:ascii="Times New Roman" w:hAnsi="Times New Roman"/>
          <w:sz w:val="28"/>
          <w:szCs w:val="28"/>
        </w:rPr>
        <w:t>, nel paragrafo relativo alla richiesta di autorizzazione alla vendita, si prende atto che nella maggior parte dei casi</w:t>
      </w:r>
      <w:r w:rsidR="00375CFA">
        <w:rPr>
          <w:rFonts w:ascii="Times New Roman" w:hAnsi="Times New Roman"/>
          <w:sz w:val="28"/>
          <w:szCs w:val="28"/>
        </w:rPr>
        <w:t xml:space="preserve">, ragionevolmente, </w:t>
      </w:r>
      <w:r w:rsidRPr="006305D1">
        <w:rPr>
          <w:rFonts w:ascii="Times New Roman" w:hAnsi="Times New Roman"/>
          <w:sz w:val="28"/>
          <w:szCs w:val="28"/>
        </w:rPr>
        <w:t xml:space="preserve"> essa viene formulata dopo la redazione del Programma di Liquidazione</w:t>
      </w:r>
      <w:r w:rsidR="00375CFA">
        <w:rPr>
          <w:rFonts w:ascii="Times New Roman" w:hAnsi="Times New Roman"/>
          <w:sz w:val="28"/>
          <w:szCs w:val="28"/>
        </w:rPr>
        <w:t>. N</w:t>
      </w:r>
      <w:r w:rsidRPr="006305D1">
        <w:rPr>
          <w:rFonts w:ascii="Times New Roman" w:hAnsi="Times New Roman"/>
          <w:sz w:val="28"/>
          <w:szCs w:val="28"/>
        </w:rPr>
        <w:t>ulla vieta</w:t>
      </w:r>
      <w:r w:rsidR="00375CFA">
        <w:rPr>
          <w:rFonts w:ascii="Times New Roman" w:hAnsi="Times New Roman"/>
          <w:sz w:val="28"/>
          <w:szCs w:val="28"/>
        </w:rPr>
        <w:t xml:space="preserve"> però</w:t>
      </w:r>
      <w:r w:rsidRPr="006305D1">
        <w:rPr>
          <w:rFonts w:ascii="Times New Roman" w:hAnsi="Times New Roman"/>
          <w:sz w:val="28"/>
          <w:szCs w:val="28"/>
        </w:rPr>
        <w:t>, se il Curatore già dispone delle informazion</w:t>
      </w:r>
      <w:r w:rsidR="00375CFA">
        <w:rPr>
          <w:rFonts w:ascii="Times New Roman" w:hAnsi="Times New Roman"/>
          <w:sz w:val="28"/>
          <w:szCs w:val="28"/>
        </w:rPr>
        <w:t>i</w:t>
      </w:r>
      <w:r w:rsidRPr="006305D1">
        <w:rPr>
          <w:rFonts w:ascii="Times New Roman" w:hAnsi="Times New Roman"/>
          <w:sz w:val="28"/>
          <w:szCs w:val="28"/>
        </w:rPr>
        <w:t xml:space="preserve"> che la D.O. </w:t>
      </w:r>
      <w:r w:rsidR="00375CFA">
        <w:rPr>
          <w:rFonts w:ascii="Times New Roman" w:hAnsi="Times New Roman"/>
          <w:sz w:val="28"/>
          <w:szCs w:val="28"/>
        </w:rPr>
        <w:t xml:space="preserve">1/2022 </w:t>
      </w:r>
      <w:r w:rsidRPr="006305D1">
        <w:rPr>
          <w:rFonts w:ascii="Times New Roman" w:hAnsi="Times New Roman"/>
          <w:sz w:val="28"/>
          <w:szCs w:val="28"/>
        </w:rPr>
        <w:t>ric</w:t>
      </w:r>
      <w:r w:rsidR="00375CFA">
        <w:rPr>
          <w:rFonts w:ascii="Times New Roman" w:hAnsi="Times New Roman"/>
          <w:sz w:val="28"/>
          <w:szCs w:val="28"/>
        </w:rPr>
        <w:t>h</w:t>
      </w:r>
      <w:r w:rsidRPr="006305D1">
        <w:rPr>
          <w:rFonts w:ascii="Times New Roman" w:hAnsi="Times New Roman"/>
          <w:sz w:val="28"/>
          <w:szCs w:val="28"/>
        </w:rPr>
        <w:t xml:space="preserve">iede, di avanzare la richiesta </w:t>
      </w:r>
      <w:r w:rsidR="00375CFA">
        <w:rPr>
          <w:rFonts w:ascii="Times New Roman" w:hAnsi="Times New Roman"/>
          <w:sz w:val="28"/>
          <w:szCs w:val="28"/>
        </w:rPr>
        <w:t xml:space="preserve">di autorizzazione </w:t>
      </w:r>
      <w:r w:rsidRPr="006305D1">
        <w:rPr>
          <w:rFonts w:ascii="Times New Roman" w:hAnsi="Times New Roman"/>
          <w:sz w:val="28"/>
          <w:szCs w:val="28"/>
        </w:rPr>
        <w:t>già con il PdL;</w:t>
      </w:r>
    </w:p>
    <w:p w14:paraId="13D50144" w14:textId="0D81D5F0" w:rsidR="006305D1" w:rsidRPr="006305D1" w:rsidRDefault="006305D1" w:rsidP="006305D1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474"/>
        <w:jc w:val="both"/>
        <w:rPr>
          <w:rFonts w:ascii="Times New Roman" w:hAnsi="Times New Roman"/>
          <w:sz w:val="28"/>
          <w:szCs w:val="28"/>
        </w:rPr>
      </w:pPr>
      <w:r w:rsidRPr="000113DC">
        <w:rPr>
          <w:rFonts w:ascii="Times New Roman" w:hAnsi="Times New Roman"/>
          <w:sz w:val="28"/>
          <w:szCs w:val="28"/>
          <w:u w:val="single"/>
        </w:rPr>
        <w:t>nella pag. 2</w:t>
      </w:r>
      <w:r w:rsidRPr="006305D1">
        <w:rPr>
          <w:rFonts w:ascii="Times New Roman" w:hAnsi="Times New Roman"/>
          <w:sz w:val="28"/>
          <w:szCs w:val="28"/>
        </w:rPr>
        <w:t xml:space="preserve">, l’indicazione di preferenza per </w:t>
      </w:r>
      <w:r w:rsidR="00375CFA">
        <w:rPr>
          <w:rFonts w:ascii="Times New Roman" w:hAnsi="Times New Roman"/>
          <w:sz w:val="28"/>
          <w:szCs w:val="28"/>
        </w:rPr>
        <w:t xml:space="preserve">le </w:t>
      </w:r>
      <w:r w:rsidRPr="006305D1">
        <w:rPr>
          <w:rFonts w:ascii="Times New Roman" w:hAnsi="Times New Roman"/>
          <w:sz w:val="28"/>
          <w:szCs w:val="28"/>
        </w:rPr>
        <w:t>relazi</w:t>
      </w:r>
      <w:r w:rsidR="00375CFA">
        <w:rPr>
          <w:rFonts w:ascii="Times New Roman" w:hAnsi="Times New Roman"/>
          <w:sz w:val="28"/>
          <w:szCs w:val="28"/>
        </w:rPr>
        <w:t>o</w:t>
      </w:r>
      <w:r w:rsidRPr="006305D1">
        <w:rPr>
          <w:rFonts w:ascii="Times New Roman" w:hAnsi="Times New Roman"/>
          <w:sz w:val="28"/>
          <w:szCs w:val="28"/>
        </w:rPr>
        <w:t>ni notarili per l’ispezio</w:t>
      </w:r>
      <w:r w:rsidR="00375CFA">
        <w:rPr>
          <w:rFonts w:ascii="Times New Roman" w:hAnsi="Times New Roman"/>
          <w:sz w:val="28"/>
          <w:szCs w:val="28"/>
        </w:rPr>
        <w:t>ne</w:t>
      </w:r>
      <w:r w:rsidRPr="006305D1">
        <w:rPr>
          <w:rFonts w:ascii="Times New Roman" w:hAnsi="Times New Roman"/>
          <w:sz w:val="28"/>
          <w:szCs w:val="28"/>
        </w:rPr>
        <w:t xml:space="preserve"> ipotecario/catastale non esclude l’ausilio di altro professionista (“visurista”)</w:t>
      </w:r>
      <w:r w:rsidR="00375CFA">
        <w:rPr>
          <w:rFonts w:ascii="Times New Roman" w:hAnsi="Times New Roman"/>
          <w:sz w:val="28"/>
          <w:szCs w:val="28"/>
        </w:rPr>
        <w:t>,</w:t>
      </w:r>
      <w:r w:rsidRPr="006305D1">
        <w:rPr>
          <w:rFonts w:ascii="Times New Roman" w:hAnsi="Times New Roman"/>
          <w:sz w:val="28"/>
          <w:szCs w:val="28"/>
        </w:rPr>
        <w:t xml:space="preserve"> quando la relazione di stima non sia sufficientemente esaustiva sul possesso ultraventennale</w:t>
      </w:r>
      <w:r w:rsidR="00375CFA">
        <w:rPr>
          <w:rFonts w:ascii="Times New Roman" w:hAnsi="Times New Roman"/>
          <w:sz w:val="28"/>
          <w:szCs w:val="28"/>
        </w:rPr>
        <w:t xml:space="preserve">. </w:t>
      </w:r>
      <w:r w:rsidR="00375CFA" w:rsidRPr="000113DC">
        <w:rPr>
          <w:rFonts w:ascii="Times New Roman" w:hAnsi="Times New Roman"/>
          <w:i/>
          <w:sz w:val="28"/>
          <w:szCs w:val="28"/>
        </w:rPr>
        <w:t>Il ricorso a professionista esterno va limitato a casi in cui l’esame della continuità proprietaria presenti obiettive difficoltà e non sia alla normale portata del Curatore, il quale vorrà altresì tenere conto del principio di economicità delle procedure</w:t>
      </w:r>
      <w:r w:rsidR="00375CFA">
        <w:rPr>
          <w:rFonts w:ascii="Times New Roman" w:hAnsi="Times New Roman"/>
          <w:sz w:val="28"/>
          <w:szCs w:val="28"/>
        </w:rPr>
        <w:t xml:space="preserve">; </w:t>
      </w:r>
    </w:p>
    <w:p w14:paraId="4CCC0789" w14:textId="68CDB12D" w:rsidR="006305D1" w:rsidRPr="006305D1" w:rsidRDefault="006305D1" w:rsidP="006305D1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474"/>
        <w:jc w:val="both"/>
        <w:rPr>
          <w:rFonts w:ascii="Times New Roman" w:hAnsi="Times New Roman"/>
          <w:sz w:val="28"/>
          <w:szCs w:val="28"/>
        </w:rPr>
      </w:pPr>
      <w:r w:rsidRPr="000113DC">
        <w:rPr>
          <w:rFonts w:ascii="Times New Roman" w:hAnsi="Times New Roman"/>
          <w:sz w:val="28"/>
          <w:szCs w:val="28"/>
          <w:u w:val="single"/>
        </w:rPr>
        <w:t>nella pag. 3</w:t>
      </w:r>
      <w:r w:rsidRPr="006305D1">
        <w:rPr>
          <w:rFonts w:ascii="Times New Roman" w:hAnsi="Times New Roman"/>
          <w:sz w:val="28"/>
          <w:szCs w:val="28"/>
        </w:rPr>
        <w:t>, i</w:t>
      </w:r>
      <w:r w:rsidR="00375CFA">
        <w:rPr>
          <w:rFonts w:ascii="Times New Roman" w:hAnsi="Times New Roman"/>
          <w:sz w:val="28"/>
          <w:szCs w:val="28"/>
        </w:rPr>
        <w:t>l</w:t>
      </w:r>
      <w:r w:rsidRPr="006305D1">
        <w:rPr>
          <w:rFonts w:ascii="Times New Roman" w:hAnsi="Times New Roman"/>
          <w:sz w:val="28"/>
          <w:szCs w:val="28"/>
        </w:rPr>
        <w:t xml:space="preserve"> riferimento alle regole liquidatorie degli art. 12 e 13 D.M. 30.5.2002 rimanda</w:t>
      </w:r>
      <w:r w:rsidR="00375CFA">
        <w:rPr>
          <w:rFonts w:ascii="Times New Roman" w:hAnsi="Times New Roman"/>
          <w:sz w:val="28"/>
          <w:szCs w:val="28"/>
        </w:rPr>
        <w:t xml:space="preserve"> immediatamente</w:t>
      </w:r>
      <w:r w:rsidRPr="006305D1">
        <w:rPr>
          <w:rFonts w:ascii="Times New Roman" w:hAnsi="Times New Roman"/>
          <w:sz w:val="28"/>
          <w:szCs w:val="28"/>
        </w:rPr>
        <w:t xml:space="preserve"> alla diretta applicabilità </w:t>
      </w:r>
      <w:r w:rsidR="000113DC">
        <w:rPr>
          <w:rFonts w:ascii="Times New Roman" w:hAnsi="Times New Roman"/>
          <w:sz w:val="28"/>
          <w:szCs w:val="28"/>
        </w:rPr>
        <w:t xml:space="preserve">anche in sede fallimentare </w:t>
      </w:r>
      <w:r w:rsidR="00375CFA">
        <w:rPr>
          <w:rFonts w:ascii="Times New Roman" w:hAnsi="Times New Roman"/>
          <w:sz w:val="28"/>
          <w:szCs w:val="28"/>
        </w:rPr>
        <w:t xml:space="preserve">(con l’adattamento di cui infra) </w:t>
      </w:r>
      <w:r w:rsidRPr="006305D1">
        <w:rPr>
          <w:rFonts w:ascii="Times New Roman" w:hAnsi="Times New Roman"/>
          <w:sz w:val="28"/>
          <w:szCs w:val="28"/>
        </w:rPr>
        <w:t>della Disposizione Organizzativa n. 25 del 13.12.2021</w:t>
      </w:r>
      <w:r w:rsidR="00327370">
        <w:rPr>
          <w:rFonts w:ascii="Times New Roman" w:hAnsi="Times New Roman"/>
          <w:sz w:val="28"/>
          <w:szCs w:val="28"/>
        </w:rPr>
        <w:t xml:space="preserve"> della Sezione</w:t>
      </w:r>
      <w:r w:rsidRPr="006305D1">
        <w:rPr>
          <w:rFonts w:ascii="Times New Roman" w:hAnsi="Times New Roman"/>
          <w:sz w:val="28"/>
          <w:szCs w:val="28"/>
        </w:rPr>
        <w:t>, che ha precisato i termini liquidatori per le espropriazioni individuali.</w:t>
      </w:r>
    </w:p>
    <w:p w14:paraId="2E2948EC" w14:textId="71A415E8" w:rsidR="002724F9" w:rsidRDefault="002724F9" w:rsidP="008019BD">
      <w:pPr>
        <w:widowControl w:val="0"/>
        <w:autoSpaceDE w:val="0"/>
        <w:autoSpaceDN w:val="0"/>
        <w:adjustRightInd w:val="0"/>
        <w:spacing w:after="0" w:line="240" w:lineRule="auto"/>
        <w:ind w:right="47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Una specifica emenda si impone </w:t>
      </w:r>
      <w:r w:rsidR="00375CFA">
        <w:rPr>
          <w:rFonts w:ascii="Times New Roman" w:hAnsi="Times New Roman"/>
          <w:sz w:val="28"/>
          <w:szCs w:val="28"/>
        </w:rPr>
        <w:t xml:space="preserve">infine </w:t>
      </w:r>
      <w:r>
        <w:rPr>
          <w:rFonts w:ascii="Times New Roman" w:hAnsi="Times New Roman"/>
          <w:sz w:val="28"/>
          <w:szCs w:val="28"/>
        </w:rPr>
        <w:t>per</w:t>
      </w:r>
      <w:r w:rsidR="00375C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la</w:t>
      </w:r>
      <w:r w:rsidR="00375C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parte conclusiva</w:t>
      </w:r>
      <w:r w:rsidR="00375CFA">
        <w:rPr>
          <w:rFonts w:ascii="Times New Roman" w:hAnsi="Times New Roman"/>
          <w:sz w:val="28"/>
          <w:szCs w:val="28"/>
        </w:rPr>
        <w:t xml:space="preserve"> della D.O. in esame</w:t>
      </w:r>
      <w:r>
        <w:rPr>
          <w:rFonts w:ascii="Times New Roman" w:hAnsi="Times New Roman"/>
          <w:sz w:val="28"/>
          <w:szCs w:val="28"/>
        </w:rPr>
        <w:t>, al punto 2</w:t>
      </w:r>
      <w:r w:rsidR="00375CFA">
        <w:rPr>
          <w:rFonts w:ascii="Times New Roman" w:hAnsi="Times New Roman"/>
          <w:sz w:val="28"/>
          <w:szCs w:val="28"/>
        </w:rPr>
        <w:t xml:space="preserve"> de</w:t>
      </w:r>
      <w:r>
        <w:rPr>
          <w:rFonts w:ascii="Times New Roman" w:hAnsi="Times New Roman"/>
          <w:sz w:val="28"/>
          <w:szCs w:val="28"/>
        </w:rPr>
        <w:t xml:space="preserve">l riepilogo della nuova procedura, non coincidente con </w:t>
      </w:r>
      <w:r w:rsidR="00375CFA">
        <w:rPr>
          <w:rFonts w:ascii="Times New Roman" w:hAnsi="Times New Roman"/>
          <w:sz w:val="28"/>
          <w:szCs w:val="28"/>
        </w:rPr>
        <w:t xml:space="preserve">la parte </w:t>
      </w:r>
      <w:r>
        <w:rPr>
          <w:rFonts w:ascii="Times New Roman" w:hAnsi="Times New Roman"/>
          <w:sz w:val="28"/>
          <w:szCs w:val="28"/>
        </w:rPr>
        <w:t>motiva sulla misura dei compensi da riconosce</w:t>
      </w:r>
      <w:r w:rsidR="000113DC">
        <w:rPr>
          <w:rFonts w:ascii="Times New Roman" w:hAnsi="Times New Roman"/>
          <w:sz w:val="28"/>
          <w:szCs w:val="28"/>
        </w:rPr>
        <w:t>re</w:t>
      </w:r>
      <w:r>
        <w:rPr>
          <w:rFonts w:ascii="Times New Roman" w:hAnsi="Times New Roman"/>
          <w:sz w:val="28"/>
          <w:szCs w:val="28"/>
        </w:rPr>
        <w:t xml:space="preserve"> per art. 13 D.M. 182/2002, che pertanto andrà modifica</w:t>
      </w:r>
      <w:r w:rsidR="00375CFA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a come segue</w:t>
      </w:r>
      <w:r w:rsidR="00375CFA">
        <w:rPr>
          <w:rFonts w:ascii="Times New Roman" w:hAnsi="Times New Roman"/>
          <w:sz w:val="28"/>
          <w:szCs w:val="28"/>
        </w:rPr>
        <w:t xml:space="preserve"> (pag. 4, 5^ parag</w:t>
      </w:r>
      <w:r w:rsidR="000113DC">
        <w:rPr>
          <w:rFonts w:ascii="Times New Roman" w:hAnsi="Times New Roman"/>
          <w:sz w:val="28"/>
          <w:szCs w:val="28"/>
        </w:rPr>
        <w:t>r</w:t>
      </w:r>
      <w:r w:rsidR="00375CFA">
        <w:rPr>
          <w:rFonts w:ascii="Times New Roman" w:hAnsi="Times New Roman"/>
          <w:sz w:val="28"/>
          <w:szCs w:val="28"/>
        </w:rPr>
        <w:t xml:space="preserve">afo sub </w:t>
      </w:r>
      <w:r w:rsidR="00375CFA">
        <w:rPr>
          <w:rFonts w:ascii="Times New Roman" w:hAnsi="Times New Roman"/>
          <w:sz w:val="28"/>
          <w:szCs w:val="28"/>
        </w:rPr>
        <w:lastRenderedPageBreak/>
        <w:t>2):</w:t>
      </w:r>
    </w:p>
    <w:p w14:paraId="3EE95C0B" w14:textId="30AE60CD" w:rsidR="000113DC" w:rsidRDefault="000113DC" w:rsidP="008019BD">
      <w:pPr>
        <w:widowControl w:val="0"/>
        <w:autoSpaceDE w:val="0"/>
        <w:autoSpaceDN w:val="0"/>
        <w:adjustRightInd w:val="0"/>
        <w:spacing w:after="0" w:line="240" w:lineRule="auto"/>
        <w:ind w:right="47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“…</w:t>
      </w:r>
    </w:p>
    <w:p w14:paraId="00DF4308" w14:textId="7F0E6813" w:rsidR="002724F9" w:rsidRDefault="00375CFA" w:rsidP="008019BD">
      <w:pPr>
        <w:widowControl w:val="0"/>
        <w:autoSpaceDE w:val="0"/>
        <w:autoSpaceDN w:val="0"/>
        <w:adjustRightInd w:val="0"/>
        <w:spacing w:after="0" w:line="240" w:lineRule="auto"/>
        <w:ind w:right="47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“…</w:t>
      </w:r>
    </w:p>
    <w:p w14:paraId="7DA785F2" w14:textId="11C95B85" w:rsidR="002724F9" w:rsidRPr="000113DC" w:rsidRDefault="002724F9" w:rsidP="008019BD">
      <w:pPr>
        <w:widowControl w:val="0"/>
        <w:autoSpaceDE w:val="0"/>
        <w:autoSpaceDN w:val="0"/>
        <w:adjustRightInd w:val="0"/>
        <w:spacing w:after="0" w:line="240" w:lineRule="auto"/>
        <w:ind w:right="474" w:firstLine="851"/>
        <w:jc w:val="both"/>
        <w:rPr>
          <w:rFonts w:ascii="Times New Roman" w:hAnsi="Times New Roman"/>
          <w:sz w:val="28"/>
          <w:szCs w:val="28"/>
        </w:rPr>
      </w:pPr>
      <w:r w:rsidRPr="000113DC">
        <w:rPr>
          <w:rFonts w:ascii="Times New Roman" w:hAnsi="Times New Roman"/>
          <w:b/>
          <w:sz w:val="28"/>
          <w:szCs w:val="28"/>
        </w:rPr>
        <w:t xml:space="preserve">2. stipulazione per iscritto dell’incarico professionale con precisa evidenziazione dei compensi da riconoscere a conclusione dell’incarico: da collegarsi preferibilmente ai parametri liquidatori di cui al D.M. 30 maggio 2002, come da Disposizione Organizzativa n. 25 del 2021 per i compensi dell’art. 12 ed i rimborsi di spese, con il correttivo – per i compensi di cui all’art. 13 di detta fonte regolamentare - del riconoscimento del </w:t>
      </w:r>
      <w:r w:rsidRPr="000113DC">
        <w:rPr>
          <w:rFonts w:ascii="Times New Roman" w:hAnsi="Times New Roman"/>
          <w:b/>
          <w:sz w:val="28"/>
          <w:szCs w:val="28"/>
          <w:u w:val="single"/>
        </w:rPr>
        <w:t>70%</w:t>
      </w:r>
      <w:r w:rsidRPr="000113DC">
        <w:rPr>
          <w:rFonts w:ascii="Times New Roman" w:hAnsi="Times New Roman"/>
          <w:b/>
          <w:sz w:val="28"/>
          <w:szCs w:val="28"/>
        </w:rPr>
        <w:t xml:space="preserve"> dell’importo derivante dall’applicazione delle aliquote percentuali massime;</w:t>
      </w:r>
    </w:p>
    <w:p w14:paraId="1ECA9FB9" w14:textId="556B6B92" w:rsidR="002724F9" w:rsidRDefault="00375CFA" w:rsidP="008019BD">
      <w:pPr>
        <w:widowControl w:val="0"/>
        <w:autoSpaceDE w:val="0"/>
        <w:autoSpaceDN w:val="0"/>
        <w:adjustRightInd w:val="0"/>
        <w:spacing w:after="0" w:line="240" w:lineRule="auto"/>
        <w:ind w:right="47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…”</w:t>
      </w:r>
    </w:p>
    <w:p w14:paraId="2CC4686C" w14:textId="5879CA73" w:rsidR="000113DC" w:rsidRDefault="000113DC" w:rsidP="008019BD">
      <w:pPr>
        <w:widowControl w:val="0"/>
        <w:autoSpaceDE w:val="0"/>
        <w:autoSpaceDN w:val="0"/>
        <w:adjustRightInd w:val="0"/>
        <w:spacing w:after="0" w:line="240" w:lineRule="auto"/>
        <w:ind w:right="47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…”</w:t>
      </w:r>
    </w:p>
    <w:p w14:paraId="1CEE9A3E" w14:textId="22D7F22B" w:rsidR="00595C3C" w:rsidRPr="00BE0A28" w:rsidRDefault="00AA5E50" w:rsidP="008019BD">
      <w:pPr>
        <w:widowControl w:val="0"/>
        <w:autoSpaceDE w:val="0"/>
        <w:autoSpaceDN w:val="0"/>
        <w:adjustRightInd w:val="0"/>
        <w:spacing w:after="0" w:line="240" w:lineRule="auto"/>
        <w:ind w:left="491" w:right="474" w:firstLine="720"/>
        <w:jc w:val="both"/>
        <w:rPr>
          <w:rFonts w:ascii="Times New Roman" w:hAnsi="Times New Roman"/>
          <w:b/>
          <w:sz w:val="28"/>
          <w:szCs w:val="28"/>
        </w:rPr>
      </w:pPr>
      <w:r w:rsidRPr="00BE0A28">
        <w:rPr>
          <w:rFonts w:ascii="Times New Roman" w:hAnsi="Times New Roman"/>
          <w:b/>
          <w:sz w:val="28"/>
          <w:szCs w:val="28"/>
        </w:rPr>
        <w:t>Si raccomanda la precisa osservanza delle disposizioni così impartite.</w:t>
      </w:r>
    </w:p>
    <w:p w14:paraId="0A2B5CB7" w14:textId="35A1653A" w:rsidR="008A6917" w:rsidRDefault="008A6917" w:rsidP="008A6917">
      <w:pPr>
        <w:widowControl w:val="0"/>
        <w:autoSpaceDE w:val="0"/>
        <w:autoSpaceDN w:val="0"/>
        <w:adjustRightInd w:val="0"/>
        <w:spacing w:after="0" w:line="240" w:lineRule="auto"/>
        <w:ind w:right="474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DA3A01">
        <w:rPr>
          <w:rFonts w:ascii="Times New Roman" w:hAnsi="Times New Roman"/>
          <w:b/>
          <w:sz w:val="28"/>
          <w:szCs w:val="28"/>
        </w:rPr>
        <w:t xml:space="preserve">          </w:t>
      </w:r>
    </w:p>
    <w:p w14:paraId="08A001D6" w14:textId="1001E3D2" w:rsidR="00595C3C" w:rsidRDefault="008A6917" w:rsidP="008019BD">
      <w:pPr>
        <w:widowControl w:val="0"/>
        <w:autoSpaceDE w:val="0"/>
        <w:autoSpaceDN w:val="0"/>
        <w:adjustRightInd w:val="0"/>
        <w:spacing w:after="0" w:line="240" w:lineRule="auto"/>
        <w:ind w:right="474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DA3A01">
        <w:rPr>
          <w:rFonts w:ascii="Times New Roman" w:hAnsi="Times New Roman"/>
          <w:b/>
          <w:sz w:val="28"/>
          <w:szCs w:val="28"/>
        </w:rPr>
        <w:t xml:space="preserve">          Il Presidente di Sezione</w:t>
      </w:r>
    </w:p>
    <w:p w14:paraId="17927334" w14:textId="22260099" w:rsidR="00DA3A01" w:rsidRDefault="00DA3A01" w:rsidP="008019BD">
      <w:pPr>
        <w:widowControl w:val="0"/>
        <w:autoSpaceDE w:val="0"/>
        <w:autoSpaceDN w:val="0"/>
        <w:adjustRightInd w:val="0"/>
        <w:spacing w:after="0" w:line="240" w:lineRule="auto"/>
        <w:ind w:left="2749" w:right="474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Dr. Roberto Braccialini</w:t>
      </w:r>
    </w:p>
    <w:p w14:paraId="7B05A208" w14:textId="2157701F" w:rsidR="00DA3A01" w:rsidRDefault="00DA3A01" w:rsidP="008019BD">
      <w:pPr>
        <w:widowControl w:val="0"/>
        <w:autoSpaceDE w:val="0"/>
        <w:autoSpaceDN w:val="0"/>
        <w:adjustRightInd w:val="0"/>
        <w:spacing w:after="0" w:line="240" w:lineRule="auto"/>
        <w:ind w:left="2749" w:right="474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2750B49" wp14:editId="10BA93FE">
            <wp:extent cx="2226366" cy="850265"/>
            <wp:effectExtent l="0" t="0" r="254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lunga o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532" cy="86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3A01" w:rsidSect="008019BD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20C39" w14:textId="77777777" w:rsidR="00124063" w:rsidRDefault="00124063" w:rsidP="00F255A7">
      <w:pPr>
        <w:spacing w:after="0" w:line="240" w:lineRule="auto"/>
      </w:pPr>
      <w:r>
        <w:separator/>
      </w:r>
    </w:p>
  </w:endnote>
  <w:endnote w:type="continuationSeparator" w:id="0">
    <w:p w14:paraId="395443FF" w14:textId="77777777" w:rsidR="00124063" w:rsidRDefault="00124063" w:rsidP="00F2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1309227"/>
      <w:docPartObj>
        <w:docPartGallery w:val="Page Numbers (Bottom of Page)"/>
        <w:docPartUnique/>
      </w:docPartObj>
    </w:sdtPr>
    <w:sdtEndPr/>
    <w:sdtContent>
      <w:p w14:paraId="61A47F05" w14:textId="513B84C1" w:rsidR="0094007C" w:rsidRDefault="0094007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7CD">
          <w:rPr>
            <w:noProof/>
          </w:rPr>
          <w:t>1</w:t>
        </w:r>
        <w:r>
          <w:fldChar w:fldCharType="end"/>
        </w:r>
      </w:p>
    </w:sdtContent>
  </w:sdt>
  <w:p w14:paraId="5E4F7D7E" w14:textId="77777777" w:rsidR="0094007C" w:rsidRDefault="009400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94B4A" w14:textId="77777777" w:rsidR="00124063" w:rsidRDefault="00124063" w:rsidP="00F255A7">
      <w:pPr>
        <w:spacing w:after="0" w:line="240" w:lineRule="auto"/>
      </w:pPr>
      <w:r>
        <w:separator/>
      </w:r>
    </w:p>
  </w:footnote>
  <w:footnote w:type="continuationSeparator" w:id="0">
    <w:p w14:paraId="37DECEAD" w14:textId="77777777" w:rsidR="00124063" w:rsidRDefault="00124063" w:rsidP="00F25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5303452"/>
      <w:docPartObj>
        <w:docPartGallery w:val="Page Numbers (Top of Page)"/>
        <w:docPartUnique/>
      </w:docPartObj>
    </w:sdtPr>
    <w:sdtEndPr/>
    <w:sdtContent>
      <w:p w14:paraId="5E9CAC78" w14:textId="54073D4D" w:rsidR="00F255A7" w:rsidRDefault="00F255A7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7CD">
          <w:rPr>
            <w:noProof/>
          </w:rPr>
          <w:t>1</w:t>
        </w:r>
        <w:r>
          <w:fldChar w:fldCharType="end"/>
        </w:r>
      </w:p>
    </w:sdtContent>
  </w:sdt>
  <w:p w14:paraId="3199D0CA" w14:textId="77777777" w:rsidR="00F255A7" w:rsidRDefault="00F255A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385C"/>
    <w:multiLevelType w:val="hybridMultilevel"/>
    <w:tmpl w:val="D46A7160"/>
    <w:lvl w:ilvl="0" w:tplc="8D767FB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1B14F4"/>
    <w:multiLevelType w:val="hybridMultilevel"/>
    <w:tmpl w:val="E042EC54"/>
    <w:lvl w:ilvl="0" w:tplc="D39A479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0B42F78"/>
    <w:multiLevelType w:val="hybridMultilevel"/>
    <w:tmpl w:val="86FA89D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1D92052"/>
    <w:multiLevelType w:val="hybridMultilevel"/>
    <w:tmpl w:val="68CAADD2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B1"/>
    <w:rsid w:val="000113DC"/>
    <w:rsid w:val="00084AC5"/>
    <w:rsid w:val="000867CD"/>
    <w:rsid w:val="00086A61"/>
    <w:rsid w:val="00104DE2"/>
    <w:rsid w:val="00124063"/>
    <w:rsid w:val="001372FA"/>
    <w:rsid w:val="001E52B6"/>
    <w:rsid w:val="002724F9"/>
    <w:rsid w:val="0030658E"/>
    <w:rsid w:val="00327370"/>
    <w:rsid w:val="00375CFA"/>
    <w:rsid w:val="00391819"/>
    <w:rsid w:val="00432170"/>
    <w:rsid w:val="00485625"/>
    <w:rsid w:val="00533D31"/>
    <w:rsid w:val="005411B1"/>
    <w:rsid w:val="00595C3C"/>
    <w:rsid w:val="005F44D6"/>
    <w:rsid w:val="006305D1"/>
    <w:rsid w:val="006C6BA0"/>
    <w:rsid w:val="007F50D6"/>
    <w:rsid w:val="008019BD"/>
    <w:rsid w:val="00804594"/>
    <w:rsid w:val="008A6917"/>
    <w:rsid w:val="008B496C"/>
    <w:rsid w:val="008C5CE5"/>
    <w:rsid w:val="008D5FD9"/>
    <w:rsid w:val="008F7C71"/>
    <w:rsid w:val="0094007C"/>
    <w:rsid w:val="009B7561"/>
    <w:rsid w:val="009D2678"/>
    <w:rsid w:val="00AA5E50"/>
    <w:rsid w:val="00AA7D30"/>
    <w:rsid w:val="00AB0192"/>
    <w:rsid w:val="00BB6B1F"/>
    <w:rsid w:val="00BD7914"/>
    <w:rsid w:val="00BE0A28"/>
    <w:rsid w:val="00CB0BA3"/>
    <w:rsid w:val="00CF7D09"/>
    <w:rsid w:val="00D22A4D"/>
    <w:rsid w:val="00D963F2"/>
    <w:rsid w:val="00DA3A01"/>
    <w:rsid w:val="00DE2C03"/>
    <w:rsid w:val="00E055E9"/>
    <w:rsid w:val="00EC2C1A"/>
    <w:rsid w:val="00EE03ED"/>
    <w:rsid w:val="00F255A7"/>
    <w:rsid w:val="00F30C10"/>
    <w:rsid w:val="00F9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E6EDA"/>
  <w14:defaultImageDpi w14:val="0"/>
  <w15:docId w15:val="{9CA2C59B-501D-4BF1-83FE-D2BCDB80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55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55A7"/>
  </w:style>
  <w:style w:type="paragraph" w:styleId="Pidipagina">
    <w:name w:val="footer"/>
    <w:basedOn w:val="Normale"/>
    <w:link w:val="PidipaginaCarattere"/>
    <w:uiPriority w:val="99"/>
    <w:unhideWhenUsed/>
    <w:rsid w:val="00F255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55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55A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C6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laura.med1995@gmail.com</dc:creator>
  <cp:keywords/>
  <dc:description/>
  <cp:lastModifiedBy>Irene Russo</cp:lastModifiedBy>
  <cp:revision>2</cp:revision>
  <cp:lastPrinted>2022-01-27T10:12:00Z</cp:lastPrinted>
  <dcterms:created xsi:type="dcterms:W3CDTF">2023-04-21T09:00:00Z</dcterms:created>
  <dcterms:modified xsi:type="dcterms:W3CDTF">2023-04-21T09:00:00Z</dcterms:modified>
</cp:coreProperties>
</file>