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52" w:rsidRPr="001158E1" w:rsidRDefault="00554A40">
      <w:pPr>
        <w:jc w:val="center"/>
        <w:rPr>
          <w:rFonts w:ascii="Calibri" w:hAnsi="Calibri"/>
          <w:b/>
          <w:sz w:val="26"/>
        </w:rPr>
      </w:pPr>
      <w:r w:rsidRPr="001158E1">
        <w:rPr>
          <w:rFonts w:ascii="Calibri" w:hAnsi="Calibri"/>
          <w:b/>
          <w:noProof/>
          <w:sz w:val="26"/>
        </w:rPr>
        <w:drawing>
          <wp:inline distT="0" distB="0" distL="0" distR="0">
            <wp:extent cx="400050" cy="44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52" w:rsidRPr="00BA523F" w:rsidRDefault="00A90152">
      <w:pPr>
        <w:pStyle w:val="Didascalia"/>
        <w:rPr>
          <w:rFonts w:ascii="Calibri" w:hAnsi="Calibri"/>
          <w:sz w:val="32"/>
          <w:szCs w:val="32"/>
        </w:rPr>
      </w:pPr>
      <w:r w:rsidRPr="00BA523F">
        <w:rPr>
          <w:rFonts w:ascii="Calibri" w:hAnsi="Calibri"/>
          <w:sz w:val="32"/>
          <w:szCs w:val="32"/>
        </w:rPr>
        <w:t xml:space="preserve">TRIBUNALE PER I MINORENNI </w:t>
      </w:r>
      <w:r w:rsidR="008A55AE" w:rsidRPr="00BA523F">
        <w:rPr>
          <w:rFonts w:ascii="Calibri" w:hAnsi="Calibri"/>
          <w:sz w:val="32"/>
          <w:szCs w:val="32"/>
        </w:rPr>
        <w:t>DI GENOVA</w:t>
      </w:r>
    </w:p>
    <w:p w:rsidR="008A55AE" w:rsidRPr="00BA523F" w:rsidRDefault="008A55AE" w:rsidP="008A55AE">
      <w:pPr>
        <w:jc w:val="center"/>
        <w:rPr>
          <w:rFonts w:ascii="Calibri" w:hAnsi="Calibri"/>
        </w:rPr>
      </w:pPr>
      <w:r w:rsidRPr="00BA523F">
        <w:rPr>
          <w:rFonts w:ascii="Calibri" w:hAnsi="Calibri"/>
          <w:b/>
          <w:sz w:val="32"/>
          <w:szCs w:val="32"/>
        </w:rPr>
        <w:t>PRESIDENZA</w:t>
      </w:r>
    </w:p>
    <w:p w:rsidR="008A55AE" w:rsidRPr="00BA523F" w:rsidRDefault="008A55AE" w:rsidP="008A55AE">
      <w:pPr>
        <w:jc w:val="center"/>
        <w:rPr>
          <w:rFonts w:ascii="Calibri" w:hAnsi="Calibri"/>
        </w:rPr>
      </w:pPr>
      <w:r w:rsidRPr="00BA523F">
        <w:rPr>
          <w:rFonts w:ascii="Calibri" w:hAnsi="Calibri"/>
        </w:rPr>
        <w:t>Via</w:t>
      </w:r>
      <w:r w:rsidR="00395516">
        <w:rPr>
          <w:rFonts w:ascii="Calibri" w:hAnsi="Calibri"/>
        </w:rPr>
        <w:t>le</w:t>
      </w:r>
      <w:r w:rsidRPr="00BA523F">
        <w:rPr>
          <w:rFonts w:ascii="Calibri" w:hAnsi="Calibri"/>
        </w:rPr>
        <w:t xml:space="preserve"> IV Novembre 4, Genova</w:t>
      </w:r>
    </w:p>
    <w:p w:rsidR="008A55AE" w:rsidRPr="00BA523F" w:rsidRDefault="008A55AE" w:rsidP="008A55AE">
      <w:pPr>
        <w:jc w:val="center"/>
        <w:rPr>
          <w:rFonts w:ascii="Calibri" w:hAnsi="Calibri"/>
          <w:i/>
        </w:rPr>
      </w:pPr>
      <w:r w:rsidRPr="00BA523F">
        <w:rPr>
          <w:rFonts w:ascii="Calibri" w:hAnsi="Calibri"/>
          <w:i/>
        </w:rPr>
        <w:t>luca.villa@giustizia.it</w:t>
      </w:r>
    </w:p>
    <w:p w:rsidR="00A90152" w:rsidRDefault="00A90152">
      <w:pPr>
        <w:spacing w:line="360" w:lineRule="auto"/>
        <w:rPr>
          <w:rFonts w:ascii="Calibri" w:hAnsi="Calibri"/>
          <w:sz w:val="26"/>
        </w:rPr>
      </w:pPr>
    </w:p>
    <w:p w:rsidR="008A55AE" w:rsidRPr="001158E1" w:rsidRDefault="008A55AE">
      <w:pPr>
        <w:spacing w:line="360" w:lineRule="auto"/>
        <w:rPr>
          <w:rFonts w:ascii="Calibri" w:hAnsi="Calibri"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3"/>
        <w:gridCol w:w="4509"/>
      </w:tblGrid>
      <w:tr w:rsidR="008A55AE" w:rsidRPr="00C06360" w:rsidTr="00BA523F">
        <w:tc>
          <w:tcPr>
            <w:tcW w:w="4889" w:type="dxa"/>
            <w:shd w:val="clear" w:color="auto" w:fill="auto"/>
          </w:tcPr>
          <w:p w:rsidR="008A55AE" w:rsidRPr="00C06360" w:rsidRDefault="008A55AE" w:rsidP="00C06360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C06360">
              <w:rPr>
                <w:rFonts w:asciiTheme="majorHAnsi" w:hAnsiTheme="majorHAnsi"/>
                <w:b/>
                <w:sz w:val="26"/>
                <w:szCs w:val="26"/>
              </w:rPr>
              <w:t>Prot</w:t>
            </w:r>
            <w:proofErr w:type="spellEnd"/>
            <w:r w:rsidRPr="00C06360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Pr="00C06360">
              <w:rPr>
                <w:rFonts w:asciiTheme="majorHAnsi" w:hAnsiTheme="majorHAnsi"/>
                <w:b/>
                <w:sz w:val="26"/>
                <w:szCs w:val="26"/>
              </w:rPr>
              <w:t>______/20</w:t>
            </w:r>
            <w:r w:rsidR="00C06360" w:rsidRPr="00C06360">
              <w:rPr>
                <w:rFonts w:asciiTheme="majorHAnsi" w:hAnsiTheme="majorHAnsi"/>
                <w:b/>
                <w:sz w:val="26"/>
                <w:szCs w:val="26"/>
              </w:rPr>
              <w:t>20</w:t>
            </w:r>
          </w:p>
        </w:tc>
        <w:tc>
          <w:tcPr>
            <w:tcW w:w="4889" w:type="dxa"/>
            <w:shd w:val="clear" w:color="auto" w:fill="auto"/>
          </w:tcPr>
          <w:p w:rsidR="008A55AE" w:rsidRPr="00C06360" w:rsidRDefault="008A55AE" w:rsidP="00E63931">
            <w:pPr>
              <w:jc w:val="right"/>
              <w:rPr>
                <w:rFonts w:asciiTheme="majorHAnsi" w:hAnsiTheme="majorHAnsi"/>
                <w:sz w:val="26"/>
                <w:szCs w:val="26"/>
              </w:rPr>
            </w:pPr>
            <w:r w:rsidRPr="00C06360">
              <w:rPr>
                <w:rFonts w:asciiTheme="majorHAnsi" w:hAnsiTheme="majorHAnsi"/>
                <w:sz w:val="26"/>
                <w:szCs w:val="26"/>
              </w:rPr>
              <w:t xml:space="preserve">Genova, </w:t>
            </w:r>
            <w:r w:rsidR="005C6298">
              <w:rPr>
                <w:rFonts w:asciiTheme="majorHAnsi" w:hAnsiTheme="majorHAnsi"/>
                <w:b/>
                <w:sz w:val="26"/>
                <w:szCs w:val="26"/>
              </w:rPr>
              <w:t>1</w:t>
            </w:r>
            <w:r w:rsidR="00E63931">
              <w:rPr>
                <w:rFonts w:asciiTheme="majorHAnsi" w:hAnsiTheme="majorHAnsi"/>
                <w:b/>
                <w:sz w:val="26"/>
                <w:szCs w:val="26"/>
              </w:rPr>
              <w:t>4</w:t>
            </w:r>
            <w:r w:rsidR="005C6298">
              <w:rPr>
                <w:rFonts w:asciiTheme="majorHAnsi" w:hAnsiTheme="majorHAnsi"/>
                <w:b/>
                <w:sz w:val="26"/>
                <w:szCs w:val="26"/>
              </w:rPr>
              <w:t xml:space="preserve"> maggio 2020</w:t>
            </w:r>
          </w:p>
        </w:tc>
      </w:tr>
    </w:tbl>
    <w:p w:rsidR="008A55AE" w:rsidRPr="00C06360" w:rsidRDefault="008A55AE" w:rsidP="00C06360">
      <w:pPr>
        <w:rPr>
          <w:rFonts w:asciiTheme="majorHAnsi" w:hAnsiTheme="majorHAnsi"/>
          <w:sz w:val="26"/>
          <w:szCs w:val="26"/>
        </w:rPr>
      </w:pPr>
    </w:p>
    <w:p w:rsidR="00E63931" w:rsidRDefault="00E63931" w:rsidP="00EE099E">
      <w:pPr>
        <w:pStyle w:val="Titolo1"/>
        <w:spacing w:line="240" w:lineRule="auto"/>
        <w:jc w:val="both"/>
        <w:rPr>
          <w:rFonts w:asciiTheme="majorHAnsi" w:hAnsiTheme="majorHAnsi"/>
          <w:sz w:val="26"/>
          <w:szCs w:val="26"/>
          <w:u w:val="single"/>
        </w:rPr>
      </w:pPr>
    </w:p>
    <w:p w:rsidR="00E63931" w:rsidRDefault="00E63931" w:rsidP="00EE099E">
      <w:pPr>
        <w:pStyle w:val="Titolo1"/>
        <w:spacing w:line="240" w:lineRule="auto"/>
        <w:jc w:val="both"/>
        <w:rPr>
          <w:rFonts w:asciiTheme="majorHAnsi" w:hAnsiTheme="majorHAnsi"/>
          <w:sz w:val="26"/>
          <w:szCs w:val="26"/>
          <w:u w:val="single"/>
        </w:rPr>
      </w:pPr>
    </w:p>
    <w:p w:rsidR="00A90152" w:rsidRPr="00C06360" w:rsidRDefault="00A90152" w:rsidP="00EE099E">
      <w:pPr>
        <w:pStyle w:val="Titolo1"/>
        <w:spacing w:line="240" w:lineRule="auto"/>
        <w:jc w:val="both"/>
        <w:rPr>
          <w:rFonts w:asciiTheme="majorHAnsi" w:hAnsiTheme="majorHAnsi"/>
          <w:sz w:val="26"/>
          <w:szCs w:val="26"/>
        </w:rPr>
      </w:pPr>
      <w:r w:rsidRPr="00C06360">
        <w:rPr>
          <w:rFonts w:asciiTheme="majorHAnsi" w:hAnsiTheme="majorHAnsi"/>
          <w:sz w:val="26"/>
          <w:szCs w:val="26"/>
          <w:u w:val="single"/>
        </w:rPr>
        <w:t>Oggetto</w:t>
      </w:r>
      <w:r w:rsidRPr="00C06360">
        <w:rPr>
          <w:rFonts w:asciiTheme="majorHAnsi" w:hAnsiTheme="majorHAnsi"/>
          <w:sz w:val="26"/>
          <w:szCs w:val="26"/>
        </w:rPr>
        <w:t xml:space="preserve">: </w:t>
      </w:r>
      <w:r w:rsidR="000F2CC2" w:rsidRPr="00C06360">
        <w:rPr>
          <w:rFonts w:asciiTheme="majorHAnsi" w:hAnsiTheme="majorHAnsi"/>
          <w:sz w:val="26"/>
          <w:szCs w:val="26"/>
        </w:rPr>
        <w:t>emergenza sanitaria COVID-19 e minori collocati in Comunità, Case Famiglia e famiglie affidatarie</w:t>
      </w:r>
      <w:r w:rsidR="00F50174">
        <w:rPr>
          <w:rFonts w:asciiTheme="majorHAnsi" w:hAnsiTheme="majorHAnsi"/>
          <w:sz w:val="26"/>
          <w:szCs w:val="26"/>
        </w:rPr>
        <w:t xml:space="preserve">. Fase 2 </w:t>
      </w:r>
    </w:p>
    <w:p w:rsidR="008A55AE" w:rsidRPr="00C06360" w:rsidRDefault="008A55AE" w:rsidP="00C06360">
      <w:pPr>
        <w:jc w:val="center"/>
        <w:rPr>
          <w:rFonts w:asciiTheme="majorHAnsi" w:hAnsiTheme="majorHAnsi"/>
          <w:sz w:val="26"/>
          <w:szCs w:val="26"/>
        </w:rPr>
      </w:pPr>
    </w:p>
    <w:p w:rsidR="000F2CC2" w:rsidRPr="00C06360" w:rsidRDefault="000F2CC2" w:rsidP="00C06360">
      <w:pPr>
        <w:rPr>
          <w:rFonts w:asciiTheme="majorHAnsi" w:hAnsiTheme="majorHAnsi"/>
          <w:sz w:val="26"/>
          <w:szCs w:val="26"/>
        </w:rPr>
      </w:pPr>
    </w:p>
    <w:p w:rsidR="000F2CC2" w:rsidRPr="00C06360" w:rsidRDefault="000F2CC2" w:rsidP="00C06360">
      <w:pPr>
        <w:rPr>
          <w:rFonts w:asciiTheme="majorHAnsi" w:hAnsiTheme="majorHAnsi"/>
          <w:sz w:val="26"/>
          <w:szCs w:val="26"/>
        </w:rPr>
      </w:pPr>
    </w:p>
    <w:p w:rsidR="005C6298" w:rsidRPr="005C6298" w:rsidRDefault="00E63931" w:rsidP="00E63931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 w:rsidRPr="00E63931">
        <w:rPr>
          <w:rFonts w:asciiTheme="majorHAnsi" w:hAnsiTheme="majorHAnsi"/>
          <w:sz w:val="26"/>
          <w:szCs w:val="26"/>
        </w:rPr>
        <w:t>Con riferimento all</w:t>
      </w:r>
      <w:r w:rsidR="00AD2941">
        <w:rPr>
          <w:rFonts w:asciiTheme="majorHAnsi" w:hAnsiTheme="majorHAnsi"/>
          <w:sz w:val="26"/>
          <w:szCs w:val="26"/>
        </w:rPr>
        <w:t xml:space="preserve">e numerose sollecitazioni da ultimo pervenute </w:t>
      </w:r>
      <w:r w:rsidRPr="00E63931">
        <w:rPr>
          <w:rFonts w:asciiTheme="majorHAnsi" w:hAnsiTheme="majorHAnsi"/>
          <w:sz w:val="26"/>
          <w:szCs w:val="26"/>
        </w:rPr>
        <w:t>ed all</w:t>
      </w:r>
      <w:r w:rsidR="00AD2941">
        <w:rPr>
          <w:rFonts w:asciiTheme="majorHAnsi" w:hAnsiTheme="majorHAnsi"/>
          <w:sz w:val="26"/>
          <w:szCs w:val="26"/>
        </w:rPr>
        <w:t xml:space="preserve">a nota </w:t>
      </w:r>
      <w:r w:rsidR="00EC7DD9">
        <w:rPr>
          <w:rFonts w:asciiTheme="majorHAnsi" w:hAnsiTheme="majorHAnsi"/>
          <w:sz w:val="26"/>
          <w:szCs w:val="26"/>
        </w:rPr>
        <w:t xml:space="preserve">datata </w:t>
      </w:r>
      <w:r w:rsidR="005C6298" w:rsidRPr="005C6298">
        <w:rPr>
          <w:rFonts w:asciiTheme="majorHAnsi" w:hAnsiTheme="majorHAnsi"/>
          <w:sz w:val="26"/>
          <w:szCs w:val="26"/>
        </w:rPr>
        <w:t xml:space="preserve">12 marzo 2020 </w:t>
      </w:r>
      <w:r w:rsidR="005C6298">
        <w:rPr>
          <w:rFonts w:asciiTheme="majorHAnsi" w:hAnsiTheme="majorHAnsi"/>
          <w:sz w:val="26"/>
          <w:szCs w:val="26"/>
        </w:rPr>
        <w:t>di questa Presidenza</w:t>
      </w:r>
      <w:r w:rsidR="00AC2649">
        <w:rPr>
          <w:rFonts w:asciiTheme="majorHAnsi" w:hAnsiTheme="majorHAnsi"/>
          <w:sz w:val="26"/>
          <w:szCs w:val="26"/>
        </w:rPr>
        <w:t>,</w:t>
      </w:r>
      <w:r w:rsidR="005C6298">
        <w:rPr>
          <w:rFonts w:asciiTheme="majorHAnsi" w:hAnsiTheme="majorHAnsi"/>
          <w:sz w:val="26"/>
          <w:szCs w:val="26"/>
        </w:rPr>
        <w:t xml:space="preserve"> </w:t>
      </w:r>
      <w:r w:rsidR="005C6298" w:rsidRPr="005C6298">
        <w:rPr>
          <w:rFonts w:asciiTheme="majorHAnsi" w:hAnsiTheme="majorHAnsi"/>
          <w:sz w:val="26"/>
          <w:szCs w:val="26"/>
        </w:rPr>
        <w:t>avente il medesimo oggetto</w:t>
      </w:r>
      <w:r w:rsidR="00AC2649">
        <w:rPr>
          <w:rFonts w:asciiTheme="majorHAnsi" w:hAnsiTheme="majorHAnsi"/>
          <w:sz w:val="26"/>
          <w:szCs w:val="26"/>
        </w:rPr>
        <w:t xml:space="preserve"> sopra indicato, </w:t>
      </w:r>
      <w:r w:rsidR="005C6298" w:rsidRPr="005C6298">
        <w:rPr>
          <w:rFonts w:asciiTheme="majorHAnsi" w:hAnsiTheme="majorHAnsi"/>
          <w:sz w:val="26"/>
          <w:szCs w:val="26"/>
        </w:rPr>
        <w:t>volta a dare indicazioni operativ</w:t>
      </w:r>
      <w:r w:rsidR="001B765A">
        <w:rPr>
          <w:rFonts w:asciiTheme="majorHAnsi" w:hAnsiTheme="majorHAnsi"/>
          <w:sz w:val="26"/>
          <w:szCs w:val="26"/>
        </w:rPr>
        <w:t xml:space="preserve">e </w:t>
      </w:r>
      <w:r w:rsidR="00AD2941">
        <w:rPr>
          <w:rFonts w:asciiTheme="majorHAnsi" w:hAnsiTheme="majorHAnsi"/>
          <w:sz w:val="26"/>
          <w:szCs w:val="26"/>
        </w:rPr>
        <w:t xml:space="preserve">urgenti </w:t>
      </w:r>
      <w:r w:rsidR="001B765A">
        <w:rPr>
          <w:rFonts w:asciiTheme="majorHAnsi" w:hAnsiTheme="majorHAnsi"/>
          <w:sz w:val="26"/>
          <w:szCs w:val="26"/>
        </w:rPr>
        <w:t>per le visite ai famigliari d</w:t>
      </w:r>
      <w:r w:rsidR="005C6298" w:rsidRPr="005C6298">
        <w:rPr>
          <w:rFonts w:asciiTheme="majorHAnsi" w:hAnsiTheme="majorHAnsi"/>
          <w:sz w:val="26"/>
          <w:szCs w:val="26"/>
        </w:rPr>
        <w:t>e</w:t>
      </w:r>
      <w:r w:rsidR="001B765A">
        <w:rPr>
          <w:rFonts w:asciiTheme="majorHAnsi" w:hAnsiTheme="majorHAnsi"/>
          <w:sz w:val="26"/>
          <w:szCs w:val="26"/>
        </w:rPr>
        <w:t>i</w:t>
      </w:r>
      <w:r w:rsidR="005C6298" w:rsidRPr="005C6298">
        <w:rPr>
          <w:rFonts w:asciiTheme="majorHAnsi" w:hAnsiTheme="majorHAnsi"/>
          <w:sz w:val="26"/>
          <w:szCs w:val="26"/>
        </w:rPr>
        <w:t xml:space="preserve"> minori collocati in comunità</w:t>
      </w:r>
      <w:r>
        <w:rPr>
          <w:rFonts w:asciiTheme="majorHAnsi" w:hAnsiTheme="majorHAnsi"/>
          <w:sz w:val="26"/>
          <w:szCs w:val="26"/>
        </w:rPr>
        <w:t xml:space="preserve">, </w:t>
      </w:r>
      <w:r w:rsidR="00AD2941">
        <w:rPr>
          <w:rFonts w:asciiTheme="majorHAnsi" w:hAnsiTheme="majorHAnsi"/>
          <w:sz w:val="26"/>
          <w:szCs w:val="26"/>
        </w:rPr>
        <w:t xml:space="preserve">si </w:t>
      </w:r>
      <w:r w:rsidR="00EC7DD9">
        <w:rPr>
          <w:rFonts w:asciiTheme="majorHAnsi" w:hAnsiTheme="majorHAnsi"/>
          <w:sz w:val="26"/>
          <w:szCs w:val="26"/>
        </w:rPr>
        <w:t xml:space="preserve">ritiene di </w:t>
      </w:r>
      <w:r w:rsidR="00AD2941">
        <w:rPr>
          <w:rFonts w:asciiTheme="majorHAnsi" w:hAnsiTheme="majorHAnsi"/>
          <w:sz w:val="26"/>
          <w:szCs w:val="26"/>
        </w:rPr>
        <w:t>d</w:t>
      </w:r>
      <w:r w:rsidR="00EC7DD9">
        <w:rPr>
          <w:rFonts w:asciiTheme="majorHAnsi" w:hAnsiTheme="majorHAnsi"/>
          <w:sz w:val="26"/>
          <w:szCs w:val="26"/>
        </w:rPr>
        <w:t xml:space="preserve">over </w:t>
      </w:r>
      <w:r>
        <w:rPr>
          <w:rFonts w:asciiTheme="majorHAnsi" w:hAnsiTheme="majorHAnsi"/>
          <w:sz w:val="26"/>
          <w:szCs w:val="26"/>
        </w:rPr>
        <w:t xml:space="preserve">rappresentare </w:t>
      </w:r>
      <w:r w:rsidR="00EC7DD9">
        <w:rPr>
          <w:rFonts w:asciiTheme="majorHAnsi" w:hAnsiTheme="majorHAnsi"/>
          <w:sz w:val="26"/>
          <w:szCs w:val="26"/>
        </w:rPr>
        <w:t>quanto segue</w:t>
      </w:r>
      <w:r>
        <w:rPr>
          <w:rFonts w:asciiTheme="majorHAnsi" w:hAnsiTheme="majorHAnsi"/>
          <w:sz w:val="26"/>
          <w:szCs w:val="26"/>
        </w:rPr>
        <w:t>.</w:t>
      </w:r>
    </w:p>
    <w:p w:rsidR="005C6298" w:rsidRDefault="005C6298" w:rsidP="00C06360">
      <w:pPr>
        <w:numPr>
          <w:ilvl w:val="12"/>
          <w:numId w:val="0"/>
        </w:numPr>
        <w:jc w:val="both"/>
        <w:rPr>
          <w:rFonts w:asciiTheme="majorHAnsi" w:hAnsiTheme="majorHAnsi"/>
          <w:b/>
          <w:i/>
          <w:sz w:val="26"/>
          <w:szCs w:val="26"/>
        </w:rPr>
      </w:pPr>
    </w:p>
    <w:p w:rsidR="00D4247E" w:rsidRDefault="00E63931" w:rsidP="00E63931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 w:rsidRPr="00E63931">
        <w:rPr>
          <w:rFonts w:asciiTheme="majorHAnsi" w:hAnsiTheme="majorHAnsi"/>
          <w:sz w:val="26"/>
          <w:szCs w:val="26"/>
        </w:rPr>
        <w:t>In</w:t>
      </w:r>
      <w:r w:rsidR="00EC7DD9">
        <w:rPr>
          <w:rFonts w:asciiTheme="majorHAnsi" w:hAnsiTheme="majorHAnsi"/>
          <w:sz w:val="26"/>
          <w:szCs w:val="26"/>
        </w:rPr>
        <w:t xml:space="preserve">nanzi tutto </w:t>
      </w:r>
      <w:r w:rsidRPr="00E63931">
        <w:rPr>
          <w:rFonts w:asciiTheme="majorHAnsi" w:hAnsiTheme="majorHAnsi"/>
          <w:sz w:val="26"/>
          <w:szCs w:val="26"/>
        </w:rPr>
        <w:t>no</w:t>
      </w:r>
      <w:r>
        <w:rPr>
          <w:rFonts w:asciiTheme="majorHAnsi" w:hAnsiTheme="majorHAnsi"/>
          <w:sz w:val="26"/>
          <w:szCs w:val="26"/>
        </w:rPr>
        <w:t>n</w:t>
      </w:r>
      <w:r w:rsidRPr="00E63931">
        <w:rPr>
          <w:rFonts w:asciiTheme="majorHAnsi" w:hAnsiTheme="majorHAnsi"/>
          <w:sz w:val="26"/>
          <w:szCs w:val="26"/>
        </w:rPr>
        <w:t xml:space="preserve"> </w:t>
      </w:r>
      <w:r w:rsidR="00AC2649">
        <w:rPr>
          <w:rFonts w:asciiTheme="majorHAnsi" w:hAnsiTheme="majorHAnsi"/>
          <w:sz w:val="26"/>
          <w:szCs w:val="26"/>
        </w:rPr>
        <w:t>si può</w:t>
      </w:r>
      <w:r w:rsidRPr="00E63931">
        <w:rPr>
          <w:rFonts w:asciiTheme="majorHAnsi" w:hAnsiTheme="majorHAnsi"/>
          <w:sz w:val="26"/>
          <w:szCs w:val="26"/>
        </w:rPr>
        <w:t xml:space="preserve"> che prendere atto </w:t>
      </w:r>
      <w:r w:rsidR="000F2CC2" w:rsidRPr="00E63931">
        <w:rPr>
          <w:rFonts w:asciiTheme="majorHAnsi" w:hAnsiTheme="majorHAnsi"/>
          <w:sz w:val="26"/>
          <w:szCs w:val="26"/>
        </w:rPr>
        <w:t>che</w:t>
      </w:r>
      <w:r w:rsidR="00EC7DD9">
        <w:rPr>
          <w:rFonts w:asciiTheme="majorHAnsi" w:hAnsiTheme="majorHAnsi"/>
          <w:sz w:val="26"/>
          <w:szCs w:val="26"/>
        </w:rPr>
        <w:t xml:space="preserve"> sebbene </w:t>
      </w:r>
      <w:r w:rsidR="005C6298" w:rsidRPr="005C6298">
        <w:rPr>
          <w:rFonts w:asciiTheme="majorHAnsi" w:hAnsiTheme="majorHAnsi"/>
          <w:sz w:val="26"/>
          <w:szCs w:val="26"/>
        </w:rPr>
        <w:t>perman</w:t>
      </w:r>
      <w:r w:rsidR="00EC7DD9">
        <w:rPr>
          <w:rFonts w:asciiTheme="majorHAnsi" w:hAnsiTheme="majorHAnsi"/>
          <w:sz w:val="26"/>
          <w:szCs w:val="26"/>
        </w:rPr>
        <w:t>ga</w:t>
      </w:r>
      <w:r w:rsidR="000F2CC2" w:rsidRPr="00C06360">
        <w:rPr>
          <w:rFonts w:asciiTheme="majorHAnsi" w:hAnsiTheme="majorHAnsi"/>
          <w:sz w:val="26"/>
          <w:szCs w:val="26"/>
        </w:rPr>
        <w:t xml:space="preserve"> l’emergenza sanitaria</w:t>
      </w:r>
      <w:r w:rsidR="005C6298">
        <w:rPr>
          <w:rFonts w:asciiTheme="majorHAnsi" w:hAnsiTheme="majorHAnsi"/>
          <w:sz w:val="26"/>
          <w:szCs w:val="26"/>
        </w:rPr>
        <w:t xml:space="preserve">, </w:t>
      </w:r>
      <w:r w:rsidR="00EC7DD9">
        <w:rPr>
          <w:rFonts w:asciiTheme="majorHAnsi" w:hAnsiTheme="majorHAnsi"/>
          <w:sz w:val="26"/>
          <w:szCs w:val="26"/>
        </w:rPr>
        <w:t xml:space="preserve">con </w:t>
      </w:r>
      <w:r w:rsidR="005C6298">
        <w:rPr>
          <w:rFonts w:asciiTheme="majorHAnsi" w:hAnsiTheme="majorHAnsi"/>
          <w:sz w:val="26"/>
          <w:szCs w:val="26"/>
        </w:rPr>
        <w:t xml:space="preserve">il DPCM 26.4.2010 </w:t>
      </w:r>
      <w:r w:rsidR="00EC7DD9">
        <w:rPr>
          <w:rFonts w:asciiTheme="majorHAnsi" w:hAnsiTheme="majorHAnsi"/>
          <w:sz w:val="26"/>
          <w:szCs w:val="26"/>
        </w:rPr>
        <w:t xml:space="preserve">sono stati autorizzati per tutti i cittadini </w:t>
      </w:r>
      <w:r w:rsidR="00AD2941">
        <w:rPr>
          <w:rFonts w:asciiTheme="majorHAnsi" w:hAnsiTheme="majorHAnsi"/>
          <w:sz w:val="26"/>
          <w:szCs w:val="26"/>
        </w:rPr>
        <w:t>incontri con i prossimi congiunti</w:t>
      </w:r>
      <w:r w:rsidR="00AD2941">
        <w:rPr>
          <w:rFonts w:asciiTheme="majorHAnsi" w:hAnsiTheme="majorHAnsi"/>
          <w:sz w:val="26"/>
          <w:szCs w:val="26"/>
        </w:rPr>
        <w:t xml:space="preserve"> (</w:t>
      </w:r>
      <w:r w:rsidR="00AD2941">
        <w:rPr>
          <w:rFonts w:asciiTheme="majorHAnsi" w:hAnsiTheme="majorHAnsi"/>
          <w:sz w:val="26"/>
          <w:szCs w:val="26"/>
        </w:rPr>
        <w:t xml:space="preserve">tra </w:t>
      </w:r>
      <w:r w:rsidR="00AD2941">
        <w:rPr>
          <w:rFonts w:asciiTheme="majorHAnsi" w:hAnsiTheme="majorHAnsi"/>
          <w:sz w:val="26"/>
          <w:szCs w:val="26"/>
        </w:rPr>
        <w:t>i</w:t>
      </w:r>
      <w:r w:rsidR="00AD2941">
        <w:rPr>
          <w:rFonts w:asciiTheme="majorHAnsi" w:hAnsiTheme="majorHAnsi"/>
          <w:sz w:val="26"/>
          <w:szCs w:val="26"/>
        </w:rPr>
        <w:t xml:space="preserve"> quali certamente ricadono i genitori e gli altri parenti </w:t>
      </w:r>
      <w:r w:rsidR="00AD2941">
        <w:rPr>
          <w:rFonts w:asciiTheme="majorHAnsi" w:hAnsiTheme="majorHAnsi"/>
          <w:sz w:val="26"/>
          <w:szCs w:val="26"/>
        </w:rPr>
        <w:t xml:space="preserve">quali nonni e fratelli) </w:t>
      </w:r>
      <w:r w:rsidR="005C6298">
        <w:rPr>
          <w:rFonts w:asciiTheme="majorHAnsi" w:hAnsiTheme="majorHAnsi"/>
          <w:sz w:val="26"/>
          <w:szCs w:val="26"/>
        </w:rPr>
        <w:t xml:space="preserve">e </w:t>
      </w:r>
      <w:r w:rsidR="00EC7DD9">
        <w:rPr>
          <w:rFonts w:asciiTheme="majorHAnsi" w:hAnsiTheme="majorHAnsi"/>
          <w:sz w:val="26"/>
          <w:szCs w:val="26"/>
        </w:rPr>
        <w:t xml:space="preserve">con </w:t>
      </w:r>
      <w:r w:rsidR="005C6298">
        <w:rPr>
          <w:rFonts w:asciiTheme="majorHAnsi" w:hAnsiTheme="majorHAnsi"/>
          <w:sz w:val="26"/>
          <w:szCs w:val="26"/>
        </w:rPr>
        <w:t xml:space="preserve">l’ordinanza 28/2020 </w:t>
      </w:r>
      <w:r w:rsidR="00EC7DD9">
        <w:rPr>
          <w:rFonts w:asciiTheme="majorHAnsi" w:hAnsiTheme="majorHAnsi"/>
          <w:sz w:val="26"/>
          <w:szCs w:val="26"/>
        </w:rPr>
        <w:t>del 10 maggio 2020</w:t>
      </w:r>
      <w:r w:rsidR="00EF0361">
        <w:rPr>
          <w:rFonts w:asciiTheme="majorHAnsi" w:hAnsiTheme="majorHAnsi"/>
          <w:sz w:val="26"/>
          <w:szCs w:val="26"/>
        </w:rPr>
        <w:t xml:space="preserve"> </w:t>
      </w:r>
      <w:r w:rsidR="005C6298">
        <w:rPr>
          <w:rFonts w:asciiTheme="majorHAnsi" w:hAnsiTheme="majorHAnsi"/>
          <w:sz w:val="26"/>
          <w:szCs w:val="26"/>
        </w:rPr>
        <w:t>del Presidente della Giun</w:t>
      </w:r>
      <w:r w:rsidR="00AD2941">
        <w:rPr>
          <w:rFonts w:asciiTheme="majorHAnsi" w:hAnsiTheme="majorHAnsi"/>
          <w:sz w:val="26"/>
          <w:szCs w:val="26"/>
        </w:rPr>
        <w:t xml:space="preserve">ta regionale </w:t>
      </w:r>
      <w:r w:rsidR="00EC7DD9">
        <w:rPr>
          <w:rFonts w:asciiTheme="majorHAnsi" w:hAnsiTheme="majorHAnsi"/>
          <w:sz w:val="26"/>
          <w:szCs w:val="26"/>
        </w:rPr>
        <w:t xml:space="preserve">si è prevista </w:t>
      </w:r>
      <w:r w:rsidR="005C6298">
        <w:rPr>
          <w:rFonts w:asciiTheme="majorHAnsi" w:hAnsiTheme="majorHAnsi"/>
          <w:sz w:val="26"/>
          <w:szCs w:val="26"/>
        </w:rPr>
        <w:t>una maggiore mobilità sul territorio regionale</w:t>
      </w:r>
      <w:r w:rsidR="00EC7DD9">
        <w:rPr>
          <w:rFonts w:asciiTheme="majorHAnsi" w:hAnsiTheme="majorHAnsi"/>
          <w:sz w:val="26"/>
          <w:szCs w:val="26"/>
        </w:rPr>
        <w:t>. Per altro</w:t>
      </w:r>
      <w:r>
        <w:rPr>
          <w:rFonts w:asciiTheme="majorHAnsi" w:hAnsiTheme="majorHAnsi"/>
          <w:sz w:val="26"/>
          <w:szCs w:val="26"/>
        </w:rPr>
        <w:t xml:space="preserve"> </w:t>
      </w:r>
      <w:r w:rsidR="00EC7DD9">
        <w:rPr>
          <w:rFonts w:asciiTheme="majorHAnsi" w:hAnsiTheme="majorHAnsi"/>
          <w:sz w:val="26"/>
          <w:szCs w:val="26"/>
        </w:rPr>
        <w:t xml:space="preserve">verso </w:t>
      </w:r>
      <w:r w:rsidR="00D4247E">
        <w:rPr>
          <w:rFonts w:asciiTheme="majorHAnsi" w:hAnsiTheme="majorHAnsi"/>
          <w:sz w:val="26"/>
          <w:szCs w:val="26"/>
        </w:rPr>
        <w:t>sono state emesse altre disposizioni</w:t>
      </w:r>
      <w:r w:rsidR="00EC7DD9">
        <w:rPr>
          <w:rFonts w:asciiTheme="majorHAnsi" w:hAnsiTheme="majorHAnsi"/>
          <w:sz w:val="26"/>
          <w:szCs w:val="26"/>
        </w:rPr>
        <w:t>, sia</w:t>
      </w:r>
      <w:r w:rsidR="00D4247E">
        <w:rPr>
          <w:rFonts w:asciiTheme="majorHAnsi" w:hAnsiTheme="majorHAnsi"/>
          <w:sz w:val="26"/>
          <w:szCs w:val="26"/>
        </w:rPr>
        <w:t xml:space="preserve"> a livello nazionale</w:t>
      </w:r>
      <w:r w:rsidR="00EC7DD9">
        <w:rPr>
          <w:rFonts w:asciiTheme="majorHAnsi" w:hAnsiTheme="majorHAnsi"/>
          <w:sz w:val="26"/>
          <w:szCs w:val="26"/>
        </w:rPr>
        <w:t>, ch</w:t>
      </w:r>
      <w:r w:rsidR="00D4247E">
        <w:rPr>
          <w:rFonts w:asciiTheme="majorHAnsi" w:hAnsiTheme="majorHAnsi"/>
          <w:sz w:val="26"/>
          <w:szCs w:val="26"/>
        </w:rPr>
        <w:t>e regionale</w:t>
      </w:r>
      <w:r w:rsidR="00EC7DD9">
        <w:rPr>
          <w:rFonts w:asciiTheme="majorHAnsi" w:hAnsiTheme="majorHAnsi"/>
          <w:sz w:val="26"/>
          <w:szCs w:val="26"/>
        </w:rPr>
        <w:t>,</w:t>
      </w:r>
      <w:r w:rsidR="00D4247E">
        <w:rPr>
          <w:rFonts w:asciiTheme="majorHAnsi" w:hAnsiTheme="majorHAnsi"/>
          <w:sz w:val="26"/>
          <w:szCs w:val="26"/>
        </w:rPr>
        <w:t xml:space="preserve"> che</w:t>
      </w:r>
      <w:r w:rsidR="00EF0361">
        <w:rPr>
          <w:rFonts w:asciiTheme="majorHAnsi" w:hAnsiTheme="majorHAnsi"/>
          <w:sz w:val="26"/>
          <w:szCs w:val="26"/>
        </w:rPr>
        <w:t xml:space="preserve"> </w:t>
      </w:r>
      <w:r w:rsidR="00D4247E">
        <w:rPr>
          <w:rFonts w:asciiTheme="majorHAnsi" w:hAnsiTheme="majorHAnsi"/>
          <w:sz w:val="26"/>
          <w:szCs w:val="26"/>
        </w:rPr>
        <w:t>contengono indicazioni contrastanti.</w:t>
      </w:r>
    </w:p>
    <w:p w:rsidR="00AD2941" w:rsidRDefault="00AD2941" w:rsidP="00D4247E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1B765A" w:rsidRDefault="00EC7DD9" w:rsidP="00D4247E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Nello specifico </w:t>
      </w:r>
      <w:r w:rsidR="00D4247E">
        <w:rPr>
          <w:rFonts w:asciiTheme="majorHAnsi" w:hAnsiTheme="majorHAnsi"/>
          <w:sz w:val="26"/>
          <w:szCs w:val="26"/>
        </w:rPr>
        <w:t xml:space="preserve">ci si riferisce all’art 83 </w:t>
      </w:r>
      <w:r w:rsidR="00D4247E">
        <w:rPr>
          <w:rFonts w:asciiTheme="majorHAnsi" w:hAnsiTheme="majorHAnsi"/>
          <w:sz w:val="26"/>
          <w:szCs w:val="26"/>
        </w:rPr>
        <w:t xml:space="preserve">comma 7 bis </w:t>
      </w:r>
      <w:r>
        <w:rPr>
          <w:rFonts w:asciiTheme="majorHAnsi" w:hAnsiTheme="majorHAnsi"/>
          <w:sz w:val="26"/>
          <w:szCs w:val="26"/>
        </w:rPr>
        <w:t xml:space="preserve">del decreto legge </w:t>
      </w:r>
      <w:r w:rsidR="00D4247E">
        <w:rPr>
          <w:rFonts w:asciiTheme="majorHAnsi" w:hAnsiTheme="majorHAnsi"/>
          <w:sz w:val="26"/>
          <w:szCs w:val="26"/>
        </w:rPr>
        <w:t>18</w:t>
      </w:r>
      <w:r>
        <w:rPr>
          <w:rFonts w:asciiTheme="majorHAnsi" w:hAnsiTheme="majorHAnsi"/>
          <w:sz w:val="26"/>
          <w:szCs w:val="26"/>
        </w:rPr>
        <w:t xml:space="preserve"> del 17 marzo 20</w:t>
      </w:r>
      <w:r w:rsidR="00D4247E">
        <w:rPr>
          <w:rFonts w:asciiTheme="majorHAnsi" w:hAnsiTheme="majorHAnsi"/>
          <w:sz w:val="26"/>
          <w:szCs w:val="26"/>
        </w:rPr>
        <w:t>20</w:t>
      </w:r>
      <w:r w:rsidR="00D4247E">
        <w:rPr>
          <w:rFonts w:asciiTheme="majorHAnsi" w:hAnsiTheme="majorHAnsi"/>
          <w:sz w:val="26"/>
          <w:szCs w:val="26"/>
        </w:rPr>
        <w:t>,</w:t>
      </w:r>
      <w:r w:rsidR="00D4247E">
        <w:rPr>
          <w:rFonts w:asciiTheme="majorHAnsi" w:hAnsiTheme="majorHAnsi"/>
          <w:sz w:val="26"/>
          <w:szCs w:val="26"/>
        </w:rPr>
        <w:t xml:space="preserve"> così come modificato con il DL 28</w:t>
      </w:r>
      <w:r>
        <w:rPr>
          <w:rFonts w:asciiTheme="majorHAnsi" w:hAnsiTheme="majorHAnsi"/>
          <w:sz w:val="26"/>
          <w:szCs w:val="26"/>
        </w:rPr>
        <w:t xml:space="preserve"> del 30 aprile 20</w:t>
      </w:r>
      <w:r w:rsidR="00D4247E">
        <w:rPr>
          <w:rFonts w:asciiTheme="majorHAnsi" w:hAnsiTheme="majorHAnsi"/>
          <w:sz w:val="26"/>
          <w:szCs w:val="26"/>
        </w:rPr>
        <w:t>20</w:t>
      </w:r>
      <w:r w:rsidR="00D4247E">
        <w:rPr>
          <w:rFonts w:asciiTheme="majorHAnsi" w:hAnsiTheme="majorHAnsi"/>
          <w:sz w:val="26"/>
          <w:szCs w:val="26"/>
        </w:rPr>
        <w:t xml:space="preserve">, che prevede </w:t>
      </w:r>
      <w:r w:rsidR="003258A6">
        <w:rPr>
          <w:rFonts w:asciiTheme="majorHAnsi" w:hAnsiTheme="majorHAnsi"/>
          <w:sz w:val="26"/>
          <w:szCs w:val="26"/>
        </w:rPr>
        <w:t xml:space="preserve">– salvo diverso provvedimento del giudice - </w:t>
      </w:r>
      <w:r w:rsidR="00D4247E">
        <w:rPr>
          <w:rFonts w:asciiTheme="majorHAnsi" w:hAnsiTheme="majorHAnsi"/>
          <w:sz w:val="26"/>
          <w:szCs w:val="26"/>
        </w:rPr>
        <w:t xml:space="preserve">una disciplina assai restrittiva quanto alle visite in Spazio </w:t>
      </w:r>
      <w:r w:rsidR="00AD2941">
        <w:rPr>
          <w:rFonts w:asciiTheme="majorHAnsi" w:hAnsiTheme="majorHAnsi"/>
          <w:sz w:val="26"/>
          <w:szCs w:val="26"/>
        </w:rPr>
        <w:t>N</w:t>
      </w:r>
      <w:r w:rsidR="00D4247E">
        <w:rPr>
          <w:rFonts w:asciiTheme="majorHAnsi" w:hAnsiTheme="majorHAnsi"/>
          <w:sz w:val="26"/>
          <w:szCs w:val="26"/>
        </w:rPr>
        <w:t>eutro</w:t>
      </w:r>
      <w:r>
        <w:rPr>
          <w:rFonts w:asciiTheme="majorHAnsi" w:hAnsiTheme="majorHAnsi"/>
          <w:sz w:val="26"/>
          <w:szCs w:val="26"/>
        </w:rPr>
        <w:t>. In particolare</w:t>
      </w:r>
      <w:r w:rsidR="00EF0361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si prevede </w:t>
      </w:r>
      <w:r w:rsidR="00D4247E" w:rsidRPr="00E63931">
        <w:rPr>
          <w:rFonts w:asciiTheme="majorHAnsi" w:hAnsiTheme="majorHAnsi"/>
          <w:sz w:val="26"/>
          <w:szCs w:val="26"/>
          <w:u w:val="single"/>
        </w:rPr>
        <w:t>fino al 31 maggio 2020</w:t>
      </w:r>
      <w:r w:rsidR="00D4247E">
        <w:rPr>
          <w:rFonts w:asciiTheme="majorHAnsi" w:hAnsiTheme="majorHAnsi"/>
          <w:sz w:val="26"/>
          <w:szCs w:val="26"/>
        </w:rPr>
        <w:t xml:space="preserve"> la sospensione </w:t>
      </w:r>
      <w:r w:rsidR="00D4247E" w:rsidRPr="001B765A">
        <w:rPr>
          <w:rFonts w:asciiTheme="majorHAnsi" w:hAnsiTheme="majorHAnsi"/>
          <w:i/>
          <w:sz w:val="26"/>
          <w:szCs w:val="26"/>
        </w:rPr>
        <w:t xml:space="preserve">ex </w:t>
      </w:r>
      <w:proofErr w:type="spellStart"/>
      <w:r w:rsidR="00D4247E" w:rsidRPr="001B765A">
        <w:rPr>
          <w:rFonts w:asciiTheme="majorHAnsi" w:hAnsiTheme="majorHAnsi"/>
          <w:i/>
          <w:sz w:val="26"/>
          <w:szCs w:val="26"/>
        </w:rPr>
        <w:t>lege</w:t>
      </w:r>
      <w:proofErr w:type="spellEnd"/>
      <w:r w:rsidR="00D4247E">
        <w:rPr>
          <w:rFonts w:asciiTheme="majorHAnsi" w:hAnsiTheme="majorHAnsi"/>
          <w:sz w:val="26"/>
          <w:szCs w:val="26"/>
        </w:rPr>
        <w:t xml:space="preserve"> degli incontri</w:t>
      </w:r>
      <w:r>
        <w:rPr>
          <w:rFonts w:asciiTheme="majorHAnsi" w:hAnsiTheme="majorHAnsi"/>
          <w:sz w:val="26"/>
          <w:szCs w:val="26"/>
        </w:rPr>
        <w:t xml:space="preserve"> ed è una d</w:t>
      </w:r>
      <w:r w:rsidR="00D4247E">
        <w:rPr>
          <w:rFonts w:asciiTheme="majorHAnsi" w:hAnsiTheme="majorHAnsi"/>
          <w:sz w:val="26"/>
          <w:szCs w:val="26"/>
        </w:rPr>
        <w:t>isciplina che non riguarda le comunità – che hanno problemi sanitari ben maggiori – ma gli incontri d</w:t>
      </w:r>
      <w:r w:rsidR="00AD2941">
        <w:rPr>
          <w:rFonts w:asciiTheme="majorHAnsi" w:hAnsiTheme="majorHAnsi"/>
          <w:sz w:val="26"/>
          <w:szCs w:val="26"/>
        </w:rPr>
        <w:t>e</w:t>
      </w:r>
      <w:r w:rsidR="00D4247E">
        <w:rPr>
          <w:rFonts w:asciiTheme="majorHAnsi" w:hAnsiTheme="majorHAnsi"/>
          <w:sz w:val="26"/>
          <w:szCs w:val="26"/>
        </w:rPr>
        <w:t>i minori affidati a uno o all’altro genitor</w:t>
      </w:r>
      <w:r w:rsidR="00A05F43">
        <w:rPr>
          <w:rFonts w:asciiTheme="majorHAnsi" w:hAnsiTheme="majorHAnsi"/>
          <w:sz w:val="26"/>
          <w:szCs w:val="26"/>
        </w:rPr>
        <w:t>e</w:t>
      </w:r>
      <w:r w:rsidR="00D4247E">
        <w:rPr>
          <w:rFonts w:asciiTheme="majorHAnsi" w:hAnsiTheme="majorHAnsi"/>
          <w:sz w:val="26"/>
          <w:szCs w:val="26"/>
        </w:rPr>
        <w:t xml:space="preserve"> o minori collocat</w:t>
      </w:r>
      <w:r w:rsidR="00A05F43">
        <w:rPr>
          <w:rFonts w:asciiTheme="majorHAnsi" w:hAnsiTheme="majorHAnsi"/>
          <w:sz w:val="26"/>
          <w:szCs w:val="26"/>
        </w:rPr>
        <w:t>i</w:t>
      </w:r>
      <w:r w:rsidR="00D4247E">
        <w:rPr>
          <w:rFonts w:asciiTheme="majorHAnsi" w:hAnsiTheme="majorHAnsi"/>
          <w:sz w:val="26"/>
          <w:szCs w:val="26"/>
        </w:rPr>
        <w:t xml:space="preserve"> in ambito </w:t>
      </w:r>
      <w:proofErr w:type="spellStart"/>
      <w:r w:rsidR="00D4247E">
        <w:rPr>
          <w:rFonts w:asciiTheme="majorHAnsi" w:hAnsiTheme="majorHAnsi"/>
          <w:sz w:val="26"/>
          <w:szCs w:val="26"/>
        </w:rPr>
        <w:t>extraf</w:t>
      </w:r>
      <w:r w:rsidR="00AD2941">
        <w:rPr>
          <w:rFonts w:asciiTheme="majorHAnsi" w:hAnsiTheme="majorHAnsi"/>
          <w:sz w:val="26"/>
          <w:szCs w:val="26"/>
        </w:rPr>
        <w:t>amigliare</w:t>
      </w:r>
      <w:proofErr w:type="spellEnd"/>
      <w:r w:rsidR="00AD2941">
        <w:rPr>
          <w:rFonts w:asciiTheme="majorHAnsi" w:hAnsiTheme="majorHAnsi"/>
          <w:sz w:val="26"/>
          <w:szCs w:val="26"/>
        </w:rPr>
        <w:t xml:space="preserve"> (famiglia affidataria</w:t>
      </w:r>
      <w:r w:rsidR="00D4247E">
        <w:rPr>
          <w:rFonts w:asciiTheme="majorHAnsi" w:hAnsiTheme="majorHAnsi"/>
          <w:sz w:val="26"/>
          <w:szCs w:val="26"/>
        </w:rPr>
        <w:t xml:space="preserve">, casa famiglia </w:t>
      </w:r>
      <w:r w:rsidR="00AD2941">
        <w:rPr>
          <w:rFonts w:asciiTheme="majorHAnsi" w:hAnsiTheme="majorHAnsi"/>
          <w:sz w:val="26"/>
          <w:szCs w:val="26"/>
        </w:rPr>
        <w:t xml:space="preserve">e solo in alcuni casi </w:t>
      </w:r>
      <w:r w:rsidR="00D4247E">
        <w:rPr>
          <w:rFonts w:asciiTheme="majorHAnsi" w:hAnsiTheme="majorHAnsi"/>
          <w:sz w:val="26"/>
          <w:szCs w:val="26"/>
        </w:rPr>
        <w:t>comunità)</w:t>
      </w:r>
      <w:r w:rsidR="00AD2941">
        <w:rPr>
          <w:rFonts w:asciiTheme="majorHAnsi" w:hAnsiTheme="majorHAnsi"/>
          <w:sz w:val="26"/>
          <w:szCs w:val="26"/>
        </w:rPr>
        <w:t>.</w:t>
      </w:r>
    </w:p>
    <w:p w:rsidR="00AD2941" w:rsidRDefault="00AD2941" w:rsidP="00D4247E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b/>
          <w:i/>
          <w:sz w:val="26"/>
          <w:szCs w:val="26"/>
        </w:rPr>
      </w:pPr>
    </w:p>
    <w:p w:rsidR="001B765A" w:rsidRDefault="00E63931" w:rsidP="00E63931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È</w:t>
      </w:r>
      <w:r w:rsidR="001B765A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per</w:t>
      </w:r>
      <w:r w:rsidR="00D4247E">
        <w:rPr>
          <w:rFonts w:asciiTheme="majorHAnsi" w:hAnsiTheme="majorHAnsi"/>
          <w:sz w:val="26"/>
          <w:szCs w:val="26"/>
        </w:rPr>
        <w:t xml:space="preserve">altro </w:t>
      </w:r>
      <w:r>
        <w:rPr>
          <w:rFonts w:asciiTheme="majorHAnsi" w:hAnsiTheme="majorHAnsi"/>
          <w:sz w:val="26"/>
          <w:szCs w:val="26"/>
        </w:rPr>
        <w:t xml:space="preserve">assolutamente </w:t>
      </w:r>
      <w:r w:rsidR="001B765A">
        <w:rPr>
          <w:rFonts w:asciiTheme="majorHAnsi" w:hAnsiTheme="majorHAnsi"/>
          <w:sz w:val="26"/>
          <w:szCs w:val="26"/>
        </w:rPr>
        <w:t>comprensibile il disorientamento dei famigliari e dei minori che da un lato assistono ad una apertura molto ampia della normativa nazionale sulle visite ai prossimi congiunti</w:t>
      </w:r>
      <w:r w:rsidR="00AD2941">
        <w:rPr>
          <w:rFonts w:asciiTheme="majorHAnsi" w:hAnsiTheme="majorHAnsi"/>
          <w:sz w:val="26"/>
          <w:szCs w:val="26"/>
        </w:rPr>
        <w:t xml:space="preserve"> e</w:t>
      </w:r>
      <w:r w:rsidR="001B765A">
        <w:rPr>
          <w:rFonts w:asciiTheme="majorHAnsi" w:hAnsiTheme="majorHAnsi"/>
          <w:sz w:val="26"/>
          <w:szCs w:val="26"/>
        </w:rPr>
        <w:t xml:space="preserve"> di quella regionale sull’ampia mobilità su tutto il </w:t>
      </w:r>
      <w:r w:rsidR="001B765A">
        <w:rPr>
          <w:rFonts w:asciiTheme="majorHAnsi" w:hAnsiTheme="majorHAnsi"/>
          <w:sz w:val="26"/>
          <w:szCs w:val="26"/>
        </w:rPr>
        <w:lastRenderedPageBreak/>
        <w:t>territorio regionale</w:t>
      </w:r>
      <w:r w:rsidR="00AD2941">
        <w:rPr>
          <w:rFonts w:asciiTheme="majorHAnsi" w:hAnsiTheme="majorHAnsi"/>
          <w:sz w:val="26"/>
          <w:szCs w:val="26"/>
        </w:rPr>
        <w:t>, e dall’altra si vedono impedito il diritto a frequentare i genitori se questo era previsto nel decreto dell’autorità giudiziaria</w:t>
      </w:r>
      <w:r w:rsidR="00D4247E">
        <w:rPr>
          <w:rFonts w:asciiTheme="majorHAnsi" w:hAnsiTheme="majorHAnsi"/>
          <w:sz w:val="26"/>
          <w:szCs w:val="26"/>
        </w:rPr>
        <w:t>.</w:t>
      </w:r>
    </w:p>
    <w:p w:rsidR="00D4247E" w:rsidRPr="00EC7DD9" w:rsidRDefault="00D4247E" w:rsidP="00E63931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Sul punto non sembra fornire sufficiente chiarezza il DPCM 26.4.2020 che all’art 1.1.lett x) prevede che </w:t>
      </w:r>
      <w:r w:rsidRPr="00D4247E">
        <w:rPr>
          <w:rFonts w:asciiTheme="majorHAnsi" w:hAnsiTheme="majorHAnsi"/>
          <w:i/>
          <w:sz w:val="26"/>
          <w:szCs w:val="26"/>
        </w:rPr>
        <w:t>“</w:t>
      </w:r>
      <w:r w:rsidRPr="00EC7DD9">
        <w:rPr>
          <w:rFonts w:asciiTheme="majorHAnsi" w:hAnsiTheme="majorHAnsi"/>
          <w:i/>
        </w:rPr>
        <w:t>l'accesso di parenti e visitatori a strutture di ospitalit</w:t>
      </w:r>
      <w:r w:rsidRPr="00EC7DD9">
        <w:rPr>
          <w:rFonts w:asciiTheme="majorHAnsi" w:hAnsiTheme="majorHAnsi"/>
          <w:i/>
        </w:rPr>
        <w:t>à</w:t>
      </w:r>
      <w:r w:rsidRPr="00EC7DD9">
        <w:rPr>
          <w:rFonts w:asciiTheme="majorHAnsi" w:hAnsiTheme="majorHAnsi"/>
          <w:i/>
        </w:rPr>
        <w:t xml:space="preserve"> e lungo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degenza,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residenze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sanitarie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assistite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(RSA),</w:t>
      </w:r>
      <w:r w:rsidR="00EF0361">
        <w:rPr>
          <w:rFonts w:asciiTheme="majorHAnsi" w:hAnsiTheme="majorHAnsi"/>
          <w:i/>
        </w:rPr>
        <w:t xml:space="preserve"> </w:t>
      </w:r>
      <w:proofErr w:type="spellStart"/>
      <w:r w:rsidRPr="00EC7DD9">
        <w:rPr>
          <w:rFonts w:asciiTheme="majorHAnsi" w:hAnsiTheme="majorHAnsi"/>
          <w:i/>
        </w:rPr>
        <w:t>hospice</w:t>
      </w:r>
      <w:proofErr w:type="spellEnd"/>
      <w:r w:rsidRPr="00EC7DD9">
        <w:rPr>
          <w:rFonts w:asciiTheme="majorHAnsi" w:hAnsiTheme="majorHAnsi"/>
          <w:i/>
        </w:rPr>
        <w:t>, strutture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riabilitative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e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strutture</w:t>
      </w:r>
      <w:r w:rsidR="00EF0361">
        <w:rPr>
          <w:rFonts w:asciiTheme="majorHAnsi" w:hAnsiTheme="majorHAnsi"/>
          <w:i/>
        </w:rPr>
        <w:t xml:space="preserve"> </w:t>
      </w:r>
      <w:proofErr w:type="gramStart"/>
      <w:r w:rsidRPr="00EC7DD9">
        <w:rPr>
          <w:rFonts w:asciiTheme="majorHAnsi" w:hAnsiTheme="majorHAnsi"/>
          <w:i/>
        </w:rPr>
        <w:t>residenziali</w:t>
      </w:r>
      <w:proofErr w:type="gramEnd"/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per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anziani, autosufficienti e non,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è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limitata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ai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soli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casi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indicati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 xml:space="preserve">dalla direzione sanitaria della struttura, che </w:t>
      </w:r>
      <w:r w:rsidRPr="00EC7DD9">
        <w:rPr>
          <w:rFonts w:asciiTheme="majorHAnsi" w:hAnsiTheme="majorHAnsi"/>
          <w:i/>
        </w:rPr>
        <w:t>è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tenuta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ad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adottare</w:t>
      </w:r>
      <w:r w:rsidR="00EF0361">
        <w:rPr>
          <w:rFonts w:asciiTheme="majorHAnsi" w:hAnsiTheme="majorHAnsi"/>
          <w:i/>
        </w:rPr>
        <w:t xml:space="preserve"> </w:t>
      </w:r>
      <w:r w:rsidRPr="00EC7DD9">
        <w:rPr>
          <w:rFonts w:asciiTheme="majorHAnsi" w:hAnsiTheme="majorHAnsi"/>
          <w:i/>
        </w:rPr>
        <w:t>le misure necessarie a prevenire possibili trasmissioni di infezione</w:t>
      </w:r>
      <w:r w:rsidRPr="00EC7DD9">
        <w:rPr>
          <w:rFonts w:asciiTheme="majorHAnsi" w:hAnsiTheme="majorHAnsi"/>
          <w:sz w:val="26"/>
          <w:szCs w:val="26"/>
        </w:rPr>
        <w:t>”.</w:t>
      </w:r>
      <w:r w:rsidR="00AD2941" w:rsidRPr="00EC7DD9">
        <w:rPr>
          <w:rFonts w:asciiTheme="majorHAnsi" w:hAnsiTheme="majorHAnsi"/>
          <w:sz w:val="26"/>
          <w:szCs w:val="26"/>
        </w:rPr>
        <w:t xml:space="preserve"> La norma sembra redatta pensando soprattutto alle residenze per anziani o alle comunità terapeutiche (tanto da rimettere al “Direttore sanitario”</w:t>
      </w:r>
      <w:r w:rsidR="00EC7DD9">
        <w:rPr>
          <w:rFonts w:asciiTheme="majorHAnsi" w:hAnsiTheme="majorHAnsi"/>
          <w:sz w:val="26"/>
          <w:szCs w:val="26"/>
        </w:rPr>
        <w:t>, figura non presente</w:t>
      </w:r>
      <w:r w:rsidR="00EF0361">
        <w:rPr>
          <w:rFonts w:asciiTheme="majorHAnsi" w:hAnsiTheme="majorHAnsi"/>
          <w:sz w:val="26"/>
          <w:szCs w:val="26"/>
        </w:rPr>
        <w:t xml:space="preserve"> </w:t>
      </w:r>
      <w:r w:rsidR="00AD2941" w:rsidRPr="00EC7DD9">
        <w:rPr>
          <w:rFonts w:asciiTheme="majorHAnsi" w:hAnsiTheme="majorHAnsi"/>
          <w:sz w:val="26"/>
          <w:szCs w:val="26"/>
        </w:rPr>
        <w:t>la scelta di limitati accessi), ma come prima tipologia indica le “strutture di ospitalità” nelle quali potrebbero rientrare anche le comunità per minori, senza distinzione alcuna tra comunità educativ</w:t>
      </w:r>
      <w:r w:rsidR="00A05F43" w:rsidRPr="00EC7DD9">
        <w:rPr>
          <w:rFonts w:asciiTheme="majorHAnsi" w:hAnsiTheme="majorHAnsi"/>
          <w:sz w:val="26"/>
          <w:szCs w:val="26"/>
        </w:rPr>
        <w:t>e</w:t>
      </w:r>
      <w:r w:rsidR="00AD2941" w:rsidRPr="00EC7DD9">
        <w:rPr>
          <w:rFonts w:asciiTheme="majorHAnsi" w:hAnsiTheme="majorHAnsi"/>
          <w:sz w:val="26"/>
          <w:szCs w:val="26"/>
        </w:rPr>
        <w:t xml:space="preserve"> e comunità terapeutiche.</w:t>
      </w:r>
    </w:p>
    <w:p w:rsidR="00AD2941" w:rsidRDefault="00AD2941" w:rsidP="00E63931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D4247E" w:rsidRDefault="00D4247E" w:rsidP="00E63931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 livello regionale è invece tuttora vigente la deliberazione di </w:t>
      </w:r>
      <w:proofErr w:type="spellStart"/>
      <w:r>
        <w:rPr>
          <w:rFonts w:asciiTheme="majorHAnsi" w:hAnsiTheme="majorHAnsi"/>
          <w:sz w:val="26"/>
          <w:szCs w:val="26"/>
        </w:rPr>
        <w:t>A.Li.Sa</w:t>
      </w:r>
      <w:proofErr w:type="spellEnd"/>
      <w:r>
        <w:rPr>
          <w:rFonts w:asciiTheme="majorHAnsi" w:hAnsiTheme="majorHAnsi"/>
          <w:sz w:val="26"/>
          <w:szCs w:val="26"/>
        </w:rPr>
        <w:t xml:space="preserve"> n. 90 del 13.3.2020 nella quale al</w:t>
      </w:r>
      <w:r w:rsidR="00EF0361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§ 13 si è fatto proprio quanto disposto da questo </w:t>
      </w:r>
      <w:r w:rsidR="00A05F43">
        <w:rPr>
          <w:rFonts w:asciiTheme="majorHAnsi" w:hAnsiTheme="majorHAnsi"/>
          <w:sz w:val="26"/>
          <w:szCs w:val="26"/>
        </w:rPr>
        <w:t>T</w:t>
      </w:r>
      <w:r>
        <w:rPr>
          <w:rFonts w:asciiTheme="majorHAnsi" w:hAnsiTheme="majorHAnsi"/>
          <w:sz w:val="26"/>
          <w:szCs w:val="26"/>
        </w:rPr>
        <w:t xml:space="preserve">ribunale disponendo la sospensione delle visite </w:t>
      </w:r>
      <w:r w:rsidR="00A05F43">
        <w:rPr>
          <w:rFonts w:asciiTheme="majorHAnsi" w:hAnsiTheme="majorHAnsi"/>
          <w:sz w:val="26"/>
          <w:szCs w:val="26"/>
        </w:rPr>
        <w:t xml:space="preserve">e </w:t>
      </w:r>
      <w:r>
        <w:rPr>
          <w:rFonts w:asciiTheme="majorHAnsi" w:hAnsiTheme="majorHAnsi"/>
          <w:sz w:val="26"/>
          <w:szCs w:val="26"/>
        </w:rPr>
        <w:t>dei rientri.</w:t>
      </w:r>
    </w:p>
    <w:p w:rsidR="00E63931" w:rsidRDefault="00E63931" w:rsidP="00E63931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E044A5" w:rsidRDefault="003258A6" w:rsidP="00E63931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Pertanto </w:t>
      </w:r>
      <w:r w:rsidR="00E044A5">
        <w:rPr>
          <w:rFonts w:asciiTheme="majorHAnsi" w:hAnsiTheme="majorHAnsi"/>
          <w:sz w:val="26"/>
          <w:szCs w:val="26"/>
        </w:rPr>
        <w:t xml:space="preserve">nell’interpretare il coacervo di disposizioni impartite a livello sanitario </w:t>
      </w:r>
      <w:r>
        <w:rPr>
          <w:rFonts w:asciiTheme="majorHAnsi" w:hAnsiTheme="majorHAnsi"/>
          <w:sz w:val="26"/>
          <w:szCs w:val="26"/>
        </w:rPr>
        <w:t xml:space="preserve">nazionale </w:t>
      </w:r>
      <w:r w:rsidR="00E044A5">
        <w:rPr>
          <w:rFonts w:asciiTheme="majorHAnsi" w:hAnsiTheme="majorHAnsi"/>
          <w:sz w:val="26"/>
          <w:szCs w:val="26"/>
        </w:rPr>
        <w:t xml:space="preserve">e a livello regionale, ed essendo consapevole questo </w:t>
      </w:r>
      <w:r w:rsidR="008509E5">
        <w:rPr>
          <w:rFonts w:asciiTheme="majorHAnsi" w:hAnsiTheme="majorHAnsi"/>
          <w:sz w:val="26"/>
          <w:szCs w:val="26"/>
        </w:rPr>
        <w:t>T</w:t>
      </w:r>
      <w:r w:rsidR="00E044A5">
        <w:rPr>
          <w:rFonts w:asciiTheme="majorHAnsi" w:hAnsiTheme="majorHAnsi"/>
          <w:sz w:val="26"/>
          <w:szCs w:val="26"/>
        </w:rPr>
        <w:t xml:space="preserve">ribunale </w:t>
      </w:r>
      <w:r w:rsidR="008509E5">
        <w:rPr>
          <w:rFonts w:asciiTheme="majorHAnsi" w:hAnsiTheme="majorHAnsi"/>
          <w:sz w:val="26"/>
          <w:szCs w:val="26"/>
        </w:rPr>
        <w:t xml:space="preserve">che i Responsabili delle </w:t>
      </w:r>
      <w:r w:rsidR="008509E5" w:rsidRPr="009D088B">
        <w:rPr>
          <w:rFonts w:asciiTheme="majorHAnsi" w:hAnsiTheme="majorHAnsi"/>
          <w:b/>
          <w:sz w:val="26"/>
          <w:szCs w:val="26"/>
        </w:rPr>
        <w:t>comunità</w:t>
      </w:r>
      <w:r w:rsidR="008509E5">
        <w:rPr>
          <w:rFonts w:asciiTheme="majorHAnsi" w:hAnsiTheme="majorHAnsi"/>
          <w:sz w:val="26"/>
          <w:szCs w:val="26"/>
        </w:rPr>
        <w:t xml:space="preserve"> e delle </w:t>
      </w:r>
      <w:r w:rsidR="008509E5" w:rsidRPr="009D088B">
        <w:rPr>
          <w:rFonts w:asciiTheme="majorHAnsi" w:hAnsiTheme="majorHAnsi"/>
          <w:b/>
          <w:sz w:val="26"/>
          <w:szCs w:val="26"/>
        </w:rPr>
        <w:t>case-famiglia</w:t>
      </w:r>
      <w:r w:rsidR="008509E5">
        <w:rPr>
          <w:rFonts w:asciiTheme="majorHAnsi" w:hAnsiTheme="majorHAnsi"/>
          <w:sz w:val="26"/>
          <w:szCs w:val="26"/>
        </w:rPr>
        <w:t xml:space="preserve"> sono anche datori di lavoro, non si può che confermare quanto già indicato il 12 marzo, ovvero la sospensione </w:t>
      </w:r>
      <w:r w:rsidR="009D088B">
        <w:rPr>
          <w:rFonts w:asciiTheme="majorHAnsi" w:hAnsiTheme="majorHAnsi"/>
          <w:sz w:val="26"/>
          <w:szCs w:val="26"/>
        </w:rPr>
        <w:t xml:space="preserve">fino al termine dell’emergenza sanitaria </w:t>
      </w:r>
      <w:r w:rsidR="008509E5">
        <w:rPr>
          <w:rFonts w:asciiTheme="majorHAnsi" w:hAnsiTheme="majorHAnsi"/>
          <w:sz w:val="26"/>
          <w:szCs w:val="26"/>
        </w:rPr>
        <w:t>dei rientri in famiglia non potendo le strutture comunitarie ed i Servizi Sociali avere alcuna vigilanza sui contatti che i minori avrebbero durante i rientri in famiglia</w:t>
      </w:r>
      <w:r w:rsidR="009D088B">
        <w:rPr>
          <w:rFonts w:asciiTheme="majorHAnsi" w:hAnsiTheme="majorHAnsi"/>
          <w:sz w:val="26"/>
          <w:szCs w:val="26"/>
        </w:rPr>
        <w:t xml:space="preserve"> e </w:t>
      </w:r>
      <w:r w:rsidR="009D088B" w:rsidRPr="00C06360">
        <w:rPr>
          <w:rFonts w:asciiTheme="majorHAnsi" w:hAnsiTheme="majorHAnsi"/>
          <w:sz w:val="26"/>
          <w:szCs w:val="26"/>
        </w:rPr>
        <w:t xml:space="preserve">che siano state rispettate in maniera rigorosa le prescrizioni sanitarie di cui al DPCM </w:t>
      </w:r>
      <w:r w:rsidR="009D088B">
        <w:rPr>
          <w:rFonts w:asciiTheme="majorHAnsi" w:hAnsiTheme="majorHAnsi"/>
          <w:sz w:val="26"/>
          <w:szCs w:val="26"/>
        </w:rPr>
        <w:t xml:space="preserve">11/20 del </w:t>
      </w:r>
      <w:r w:rsidR="009D088B" w:rsidRPr="00C06360">
        <w:rPr>
          <w:rFonts w:asciiTheme="majorHAnsi" w:hAnsiTheme="majorHAnsi"/>
          <w:sz w:val="26"/>
          <w:szCs w:val="26"/>
        </w:rPr>
        <w:t>9.3.2020</w:t>
      </w:r>
      <w:r w:rsidR="009D088B">
        <w:rPr>
          <w:rFonts w:asciiTheme="majorHAnsi" w:hAnsiTheme="majorHAnsi"/>
          <w:sz w:val="26"/>
          <w:szCs w:val="26"/>
        </w:rPr>
        <w:t>, ribadite comunque nel DPCM 26.4.2020</w:t>
      </w:r>
      <w:r w:rsidR="009D088B" w:rsidRPr="00C06360">
        <w:rPr>
          <w:rFonts w:asciiTheme="majorHAnsi" w:hAnsiTheme="majorHAnsi"/>
          <w:sz w:val="26"/>
          <w:szCs w:val="26"/>
        </w:rPr>
        <w:t>.</w:t>
      </w:r>
    </w:p>
    <w:p w:rsidR="003258A6" w:rsidRDefault="003258A6" w:rsidP="008509E5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8509E5" w:rsidRDefault="008509E5" w:rsidP="008509E5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Quanto invece alle </w:t>
      </w:r>
      <w:r w:rsidRPr="009D088B">
        <w:rPr>
          <w:rFonts w:asciiTheme="majorHAnsi" w:hAnsiTheme="majorHAnsi"/>
          <w:sz w:val="26"/>
          <w:szCs w:val="26"/>
          <w:u w:val="single"/>
        </w:rPr>
        <w:t>visite dei parenti in spazi interni alle strutture</w:t>
      </w:r>
      <w:r>
        <w:rPr>
          <w:rFonts w:asciiTheme="majorHAnsi" w:hAnsiTheme="majorHAnsi"/>
          <w:sz w:val="26"/>
          <w:szCs w:val="26"/>
        </w:rPr>
        <w:t xml:space="preserve"> o all’</w:t>
      </w:r>
      <w:r w:rsidRPr="009D088B">
        <w:rPr>
          <w:rFonts w:asciiTheme="majorHAnsi" w:hAnsiTheme="majorHAnsi"/>
          <w:sz w:val="26"/>
          <w:szCs w:val="26"/>
          <w:u w:val="single"/>
        </w:rPr>
        <w:t>organizzazione di incontri tra i minori e i parenti in ambiti esterni alle comunità</w:t>
      </w:r>
      <w:r>
        <w:rPr>
          <w:rFonts w:asciiTheme="majorHAnsi" w:hAnsiTheme="majorHAnsi"/>
          <w:sz w:val="26"/>
          <w:szCs w:val="26"/>
        </w:rPr>
        <w:t xml:space="preserve">, ma con vigilanza delle prescrizioni sanitarie da parte di personale educativo, questa Presidenza ha già espresso in occasione di </w:t>
      </w:r>
      <w:r w:rsidR="003258A6">
        <w:rPr>
          <w:rFonts w:asciiTheme="majorHAnsi" w:hAnsiTheme="majorHAnsi"/>
          <w:sz w:val="26"/>
          <w:szCs w:val="26"/>
        </w:rPr>
        <w:t xml:space="preserve">plurimi </w:t>
      </w:r>
      <w:r>
        <w:rPr>
          <w:rFonts w:asciiTheme="majorHAnsi" w:hAnsiTheme="majorHAnsi"/>
          <w:sz w:val="26"/>
          <w:szCs w:val="26"/>
        </w:rPr>
        <w:t>incontri con Regione Liguria, Comune di Genova</w:t>
      </w:r>
      <w:r w:rsidR="00EF0361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e con Alisa, il proprio parere favorevole rimettendosi, quanto agli aspetti igienico-san</w:t>
      </w:r>
      <w:r w:rsidR="00A05F43">
        <w:rPr>
          <w:rFonts w:asciiTheme="majorHAnsi" w:hAnsiTheme="majorHAnsi"/>
          <w:sz w:val="26"/>
          <w:szCs w:val="26"/>
        </w:rPr>
        <w:t>i</w:t>
      </w:r>
      <w:r>
        <w:rPr>
          <w:rFonts w:asciiTheme="majorHAnsi" w:hAnsiTheme="majorHAnsi"/>
          <w:sz w:val="26"/>
          <w:szCs w:val="26"/>
        </w:rPr>
        <w:t>tari alle determinazioni delle competenti autorità sanitarie.</w:t>
      </w:r>
    </w:p>
    <w:p w:rsidR="003258A6" w:rsidRDefault="003258A6" w:rsidP="008509E5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8509E5" w:rsidRPr="00A05F43" w:rsidRDefault="008509E5" w:rsidP="008509E5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 w:rsidRPr="003258A6">
        <w:rPr>
          <w:rFonts w:asciiTheme="majorHAnsi" w:hAnsiTheme="majorHAnsi"/>
          <w:sz w:val="26"/>
          <w:szCs w:val="26"/>
        </w:rPr>
        <w:t xml:space="preserve">Peraltro tale indicazione era già contenuta nella comunicazione 12.3.2020 laddove si </w:t>
      </w:r>
      <w:r w:rsidRPr="003258A6">
        <w:rPr>
          <w:rFonts w:asciiTheme="majorHAnsi" w:hAnsiTheme="majorHAnsi"/>
          <w:sz w:val="26"/>
          <w:szCs w:val="26"/>
        </w:rPr>
        <w:t>autorizza</w:t>
      </w:r>
      <w:r w:rsidR="003258A6" w:rsidRPr="003258A6">
        <w:rPr>
          <w:rFonts w:asciiTheme="majorHAnsi" w:hAnsiTheme="majorHAnsi"/>
          <w:sz w:val="26"/>
          <w:szCs w:val="26"/>
        </w:rPr>
        <w:t>va</w:t>
      </w:r>
      <w:r w:rsidRPr="003258A6">
        <w:rPr>
          <w:rFonts w:asciiTheme="majorHAnsi" w:hAnsiTheme="majorHAnsi"/>
          <w:sz w:val="26"/>
          <w:szCs w:val="26"/>
        </w:rPr>
        <w:t xml:space="preserve"> la </w:t>
      </w:r>
      <w:r w:rsidRPr="00A05F43">
        <w:rPr>
          <w:rFonts w:asciiTheme="majorHAnsi" w:hAnsiTheme="majorHAnsi"/>
          <w:sz w:val="26"/>
          <w:szCs w:val="26"/>
        </w:rPr>
        <w:t>sospensione “</w:t>
      </w:r>
      <w:r w:rsidRPr="00A05F43">
        <w:rPr>
          <w:rFonts w:asciiTheme="majorHAnsi" w:hAnsiTheme="majorHAnsi"/>
          <w:i/>
          <w:sz w:val="26"/>
          <w:szCs w:val="26"/>
        </w:rPr>
        <w:t>fatta salva la possibilità di garantire</w:t>
      </w:r>
      <w:r w:rsidR="00EF0361">
        <w:rPr>
          <w:rFonts w:asciiTheme="majorHAnsi" w:hAnsiTheme="majorHAnsi"/>
          <w:i/>
          <w:sz w:val="26"/>
          <w:szCs w:val="26"/>
        </w:rPr>
        <w:t xml:space="preserve"> </w:t>
      </w:r>
      <w:r w:rsidRPr="00A05F43">
        <w:rPr>
          <w:rFonts w:asciiTheme="majorHAnsi" w:hAnsiTheme="majorHAnsi"/>
          <w:i/>
          <w:sz w:val="26"/>
          <w:szCs w:val="26"/>
        </w:rPr>
        <w:t>il rigoroso rispetto di quanto indicato in premessa</w:t>
      </w:r>
      <w:r w:rsidRPr="00A05F43">
        <w:rPr>
          <w:rFonts w:asciiTheme="majorHAnsi" w:hAnsiTheme="majorHAnsi"/>
          <w:sz w:val="26"/>
          <w:szCs w:val="26"/>
        </w:rPr>
        <w:t>”.</w:t>
      </w:r>
    </w:p>
    <w:p w:rsidR="008509E5" w:rsidRDefault="008509E5" w:rsidP="00E63931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9A1590" w:rsidRDefault="003258A6" w:rsidP="003258A6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 w:rsidRPr="003258A6">
        <w:rPr>
          <w:rFonts w:asciiTheme="majorHAnsi" w:hAnsiTheme="majorHAnsi"/>
          <w:sz w:val="26"/>
          <w:szCs w:val="26"/>
        </w:rPr>
        <w:t>Q</w:t>
      </w:r>
      <w:r w:rsidR="000F2CC2" w:rsidRPr="003258A6">
        <w:rPr>
          <w:rFonts w:asciiTheme="majorHAnsi" w:hAnsiTheme="majorHAnsi"/>
          <w:sz w:val="26"/>
          <w:szCs w:val="26"/>
        </w:rPr>
        <w:t>uanto</w:t>
      </w:r>
      <w:r w:rsidR="000F2CC2" w:rsidRPr="00C06360">
        <w:rPr>
          <w:rFonts w:asciiTheme="majorHAnsi" w:hAnsiTheme="majorHAnsi"/>
          <w:sz w:val="26"/>
          <w:szCs w:val="26"/>
        </w:rPr>
        <w:t xml:space="preserve"> agli </w:t>
      </w:r>
      <w:r w:rsidR="000F2CC2" w:rsidRPr="00F50174">
        <w:rPr>
          <w:rFonts w:asciiTheme="majorHAnsi" w:hAnsiTheme="majorHAnsi"/>
          <w:sz w:val="26"/>
          <w:szCs w:val="26"/>
        </w:rPr>
        <w:t>incontri</w:t>
      </w:r>
      <w:r w:rsidR="00306C3C" w:rsidRPr="00F50174">
        <w:rPr>
          <w:rFonts w:asciiTheme="majorHAnsi" w:hAnsiTheme="majorHAnsi"/>
          <w:sz w:val="26"/>
          <w:szCs w:val="26"/>
        </w:rPr>
        <w:t xml:space="preserve"> </w:t>
      </w:r>
      <w:r w:rsidRPr="00F50174">
        <w:rPr>
          <w:rFonts w:asciiTheme="majorHAnsi" w:hAnsiTheme="majorHAnsi"/>
          <w:sz w:val="26"/>
          <w:szCs w:val="26"/>
        </w:rPr>
        <w:t xml:space="preserve">tra i minori e i famigliari </w:t>
      </w:r>
      <w:r w:rsidR="00306C3C" w:rsidRPr="00F50174">
        <w:rPr>
          <w:rFonts w:asciiTheme="majorHAnsi" w:hAnsiTheme="majorHAnsi"/>
          <w:sz w:val="26"/>
          <w:szCs w:val="26"/>
        </w:rPr>
        <w:t>in comunità</w:t>
      </w:r>
      <w:r w:rsidR="000F2CC2" w:rsidRPr="00C06360">
        <w:rPr>
          <w:rFonts w:asciiTheme="majorHAnsi" w:hAnsiTheme="majorHAnsi"/>
          <w:sz w:val="26"/>
          <w:szCs w:val="26"/>
        </w:rPr>
        <w:t>,</w:t>
      </w:r>
      <w:r w:rsidR="009A1590">
        <w:rPr>
          <w:rFonts w:asciiTheme="majorHAnsi" w:hAnsiTheme="majorHAnsi"/>
          <w:sz w:val="26"/>
          <w:szCs w:val="26"/>
        </w:rPr>
        <w:t xml:space="preserve"> la disciplina delle visite è </w:t>
      </w:r>
      <w:r w:rsidR="00F50174">
        <w:rPr>
          <w:rFonts w:asciiTheme="majorHAnsi" w:hAnsiTheme="majorHAnsi"/>
          <w:sz w:val="26"/>
          <w:szCs w:val="26"/>
        </w:rPr>
        <w:t xml:space="preserve">pertanto </w:t>
      </w:r>
      <w:r w:rsidR="009A1590">
        <w:rPr>
          <w:rFonts w:asciiTheme="majorHAnsi" w:hAnsiTheme="majorHAnsi"/>
          <w:sz w:val="26"/>
          <w:szCs w:val="26"/>
        </w:rPr>
        <w:t xml:space="preserve">subordinata alle direttive nazionali e regionali </w:t>
      </w:r>
      <w:r>
        <w:rPr>
          <w:rFonts w:asciiTheme="majorHAnsi" w:hAnsiTheme="majorHAnsi"/>
          <w:sz w:val="26"/>
          <w:szCs w:val="26"/>
        </w:rPr>
        <w:t>e nulla osta da parte dell’autorità giudiziaria una volta indicate - così come ha fatto il Ministero della Giustizia</w:t>
      </w:r>
      <w:r w:rsidR="00EF0361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e il Dipartimento Giustizia Minorile</w:t>
      </w:r>
      <w:r w:rsidR="00EF0361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con rifermento agli incontri “in presenza” tra i famigliari e i minorenni ristretti in IPM nella </w:t>
      </w:r>
      <w:r w:rsidR="0064797E">
        <w:rPr>
          <w:rFonts w:asciiTheme="majorHAnsi" w:hAnsiTheme="majorHAnsi"/>
          <w:sz w:val="26"/>
          <w:szCs w:val="26"/>
        </w:rPr>
        <w:t>circolare 12 maggio 2015 – le prescrizioni igienico sanitarie cui le comunità dovranno attenersi.</w:t>
      </w:r>
    </w:p>
    <w:p w:rsidR="009A1590" w:rsidRDefault="009A1590" w:rsidP="00C06360">
      <w:pPr>
        <w:numPr>
          <w:ilvl w:val="12"/>
          <w:numId w:val="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</w:p>
    <w:p w:rsidR="000F2CC2" w:rsidRPr="005C6298" w:rsidRDefault="0064797E" w:rsidP="0064797E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b/>
          <w:sz w:val="26"/>
          <w:szCs w:val="26"/>
        </w:rPr>
      </w:pPr>
      <w:r w:rsidRPr="0064797E">
        <w:rPr>
          <w:rFonts w:asciiTheme="majorHAnsi" w:hAnsiTheme="majorHAnsi"/>
          <w:sz w:val="26"/>
          <w:szCs w:val="26"/>
        </w:rPr>
        <w:lastRenderedPageBreak/>
        <w:t>S</w:t>
      </w:r>
      <w:r w:rsidR="009A1590" w:rsidRPr="0064797E">
        <w:rPr>
          <w:rFonts w:asciiTheme="majorHAnsi" w:hAnsiTheme="majorHAnsi"/>
          <w:sz w:val="26"/>
          <w:szCs w:val="26"/>
        </w:rPr>
        <w:t>i</w:t>
      </w:r>
      <w:r w:rsidR="009A1590">
        <w:rPr>
          <w:rFonts w:asciiTheme="majorHAnsi" w:hAnsiTheme="majorHAnsi"/>
          <w:sz w:val="26"/>
          <w:szCs w:val="26"/>
        </w:rPr>
        <w:t xml:space="preserve"> deve </w:t>
      </w:r>
      <w:r>
        <w:rPr>
          <w:rFonts w:asciiTheme="majorHAnsi" w:hAnsiTheme="majorHAnsi"/>
          <w:sz w:val="26"/>
          <w:szCs w:val="26"/>
        </w:rPr>
        <w:t xml:space="preserve">ribadire – come già sottolineato nella comunicazione del 12 marzo 2020 - </w:t>
      </w:r>
      <w:r w:rsidR="009A1590">
        <w:rPr>
          <w:rFonts w:asciiTheme="majorHAnsi" w:hAnsiTheme="majorHAnsi"/>
          <w:sz w:val="26"/>
          <w:szCs w:val="26"/>
        </w:rPr>
        <w:t xml:space="preserve">che </w:t>
      </w:r>
      <w:r w:rsidR="000F2CC2" w:rsidRPr="00C06360">
        <w:rPr>
          <w:rFonts w:asciiTheme="majorHAnsi" w:hAnsiTheme="majorHAnsi"/>
          <w:sz w:val="26"/>
          <w:szCs w:val="26"/>
        </w:rPr>
        <w:t xml:space="preserve">è onere della </w:t>
      </w:r>
      <w:r w:rsidR="00EE099E">
        <w:rPr>
          <w:rFonts w:asciiTheme="majorHAnsi" w:hAnsiTheme="majorHAnsi"/>
          <w:sz w:val="26"/>
          <w:szCs w:val="26"/>
        </w:rPr>
        <w:t xml:space="preserve">struttura </w:t>
      </w:r>
      <w:r w:rsidR="000F2CC2" w:rsidRPr="00C06360">
        <w:rPr>
          <w:rFonts w:asciiTheme="majorHAnsi" w:hAnsiTheme="majorHAnsi"/>
          <w:sz w:val="26"/>
          <w:szCs w:val="26"/>
        </w:rPr>
        <w:t xml:space="preserve">fare in modo che </w:t>
      </w:r>
      <w:r w:rsidR="009A1590">
        <w:rPr>
          <w:rFonts w:asciiTheme="majorHAnsi" w:hAnsiTheme="majorHAnsi"/>
          <w:sz w:val="26"/>
          <w:szCs w:val="26"/>
        </w:rPr>
        <w:t xml:space="preserve">gli incontri </w:t>
      </w:r>
      <w:r w:rsidR="000F2CC2" w:rsidRPr="00C06360">
        <w:rPr>
          <w:rFonts w:asciiTheme="majorHAnsi" w:hAnsiTheme="majorHAnsi"/>
          <w:sz w:val="26"/>
          <w:szCs w:val="26"/>
        </w:rPr>
        <w:t xml:space="preserve">avvengano nel rispetto delle prescrizioni generali </w:t>
      </w:r>
      <w:r w:rsidR="00901E7E">
        <w:rPr>
          <w:rFonts w:asciiTheme="majorHAnsi" w:hAnsiTheme="majorHAnsi"/>
          <w:sz w:val="26"/>
          <w:szCs w:val="26"/>
        </w:rPr>
        <w:t xml:space="preserve">ed in particolare </w:t>
      </w:r>
      <w:r w:rsidR="009A1590">
        <w:rPr>
          <w:rFonts w:asciiTheme="majorHAnsi" w:hAnsiTheme="majorHAnsi"/>
          <w:sz w:val="26"/>
          <w:szCs w:val="26"/>
        </w:rPr>
        <w:t xml:space="preserve">di </w:t>
      </w:r>
      <w:r w:rsidR="00901E7E">
        <w:rPr>
          <w:rFonts w:asciiTheme="majorHAnsi" w:hAnsiTheme="majorHAnsi"/>
          <w:sz w:val="26"/>
          <w:szCs w:val="26"/>
        </w:rPr>
        <w:t xml:space="preserve">quelle </w:t>
      </w:r>
      <w:r w:rsidR="009A1590">
        <w:rPr>
          <w:rFonts w:asciiTheme="majorHAnsi" w:hAnsiTheme="majorHAnsi"/>
          <w:sz w:val="26"/>
          <w:szCs w:val="26"/>
        </w:rPr>
        <w:t xml:space="preserve">che verranno </w:t>
      </w:r>
      <w:r w:rsidR="00901E7E">
        <w:rPr>
          <w:rFonts w:asciiTheme="majorHAnsi" w:hAnsiTheme="majorHAnsi"/>
          <w:sz w:val="26"/>
          <w:szCs w:val="26"/>
        </w:rPr>
        <w:t>impar</w:t>
      </w:r>
      <w:r w:rsidR="009A1590">
        <w:rPr>
          <w:rFonts w:asciiTheme="majorHAnsi" w:hAnsiTheme="majorHAnsi"/>
          <w:sz w:val="26"/>
          <w:szCs w:val="26"/>
        </w:rPr>
        <w:t>t</w:t>
      </w:r>
      <w:r w:rsidR="00901E7E">
        <w:rPr>
          <w:rFonts w:asciiTheme="majorHAnsi" w:hAnsiTheme="majorHAnsi"/>
          <w:sz w:val="26"/>
          <w:szCs w:val="26"/>
        </w:rPr>
        <w:t>ite da</w:t>
      </w:r>
      <w:r w:rsidR="009A1590">
        <w:rPr>
          <w:rFonts w:asciiTheme="majorHAnsi" w:hAnsiTheme="majorHAnsi"/>
          <w:sz w:val="26"/>
          <w:szCs w:val="26"/>
        </w:rPr>
        <w:t xml:space="preserve"> </w:t>
      </w:r>
      <w:r w:rsidR="00901E7E">
        <w:rPr>
          <w:rFonts w:asciiTheme="majorHAnsi" w:hAnsiTheme="majorHAnsi"/>
          <w:sz w:val="26"/>
          <w:szCs w:val="26"/>
        </w:rPr>
        <w:t xml:space="preserve">Alisa </w:t>
      </w:r>
      <w:r w:rsidR="000F2CC2" w:rsidRPr="00C06360">
        <w:rPr>
          <w:rFonts w:asciiTheme="majorHAnsi" w:hAnsiTheme="majorHAnsi"/>
          <w:sz w:val="26"/>
          <w:szCs w:val="26"/>
        </w:rPr>
        <w:t>in tema di conten</w:t>
      </w:r>
      <w:r>
        <w:rPr>
          <w:rFonts w:asciiTheme="majorHAnsi" w:hAnsiTheme="majorHAnsi"/>
          <w:sz w:val="26"/>
          <w:szCs w:val="26"/>
        </w:rPr>
        <w:t>imento del contagio da COVID-19</w:t>
      </w:r>
      <w:r w:rsidR="00C06360">
        <w:rPr>
          <w:rFonts w:asciiTheme="majorHAnsi" w:hAnsiTheme="majorHAnsi"/>
          <w:sz w:val="26"/>
          <w:szCs w:val="26"/>
        </w:rPr>
        <w:t>.</w:t>
      </w:r>
    </w:p>
    <w:p w:rsidR="00C06360" w:rsidRPr="00C06360" w:rsidRDefault="00C06360" w:rsidP="00C06360">
      <w:pPr>
        <w:numPr>
          <w:ilvl w:val="12"/>
          <w:numId w:val="0"/>
        </w:numPr>
        <w:jc w:val="both"/>
        <w:rPr>
          <w:rFonts w:asciiTheme="majorHAnsi" w:hAnsiTheme="majorHAnsi"/>
          <w:sz w:val="26"/>
          <w:szCs w:val="26"/>
        </w:rPr>
      </w:pPr>
    </w:p>
    <w:p w:rsidR="00F50174" w:rsidRDefault="00F50174" w:rsidP="00F50174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 w:rsidRPr="00C06360">
        <w:rPr>
          <w:rFonts w:asciiTheme="majorHAnsi" w:hAnsiTheme="majorHAnsi"/>
          <w:sz w:val="26"/>
          <w:szCs w:val="26"/>
        </w:rPr>
        <w:t xml:space="preserve">È </w:t>
      </w:r>
      <w:r>
        <w:rPr>
          <w:rFonts w:asciiTheme="majorHAnsi" w:hAnsiTheme="majorHAnsi"/>
          <w:sz w:val="26"/>
          <w:szCs w:val="26"/>
        </w:rPr>
        <w:t>per</w:t>
      </w:r>
      <w:r>
        <w:rPr>
          <w:rFonts w:asciiTheme="majorHAnsi" w:hAnsiTheme="majorHAnsi"/>
          <w:sz w:val="26"/>
          <w:szCs w:val="26"/>
        </w:rPr>
        <w:t xml:space="preserve">altro </w:t>
      </w:r>
      <w:r>
        <w:rPr>
          <w:rFonts w:asciiTheme="majorHAnsi" w:hAnsiTheme="majorHAnsi"/>
          <w:sz w:val="26"/>
          <w:szCs w:val="26"/>
        </w:rPr>
        <w:t xml:space="preserve">necessario </w:t>
      </w:r>
      <w:r>
        <w:rPr>
          <w:rFonts w:asciiTheme="majorHAnsi" w:hAnsiTheme="majorHAnsi"/>
          <w:sz w:val="26"/>
          <w:szCs w:val="26"/>
        </w:rPr>
        <w:t xml:space="preserve">confermare </w:t>
      </w:r>
      <w:r>
        <w:rPr>
          <w:rFonts w:asciiTheme="majorHAnsi" w:hAnsiTheme="majorHAnsi"/>
          <w:sz w:val="26"/>
          <w:szCs w:val="26"/>
        </w:rPr>
        <w:t>-</w:t>
      </w:r>
      <w:r w:rsidRPr="00C06360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fatte salve </w:t>
      </w:r>
      <w:r w:rsidRPr="00C06360">
        <w:rPr>
          <w:rFonts w:asciiTheme="majorHAnsi" w:hAnsiTheme="majorHAnsi"/>
          <w:sz w:val="26"/>
          <w:szCs w:val="26"/>
        </w:rPr>
        <w:t>divers</w:t>
      </w:r>
      <w:r>
        <w:rPr>
          <w:rFonts w:asciiTheme="majorHAnsi" w:hAnsiTheme="majorHAnsi"/>
          <w:sz w:val="26"/>
          <w:szCs w:val="26"/>
        </w:rPr>
        <w:t>e</w:t>
      </w:r>
      <w:r w:rsidRPr="00C06360">
        <w:rPr>
          <w:rFonts w:asciiTheme="majorHAnsi" w:hAnsiTheme="majorHAnsi"/>
          <w:sz w:val="26"/>
          <w:szCs w:val="26"/>
        </w:rPr>
        <w:t xml:space="preserve"> determinazione dell’assessorato alla Sanità della Regione Liguria</w:t>
      </w:r>
      <w:r>
        <w:rPr>
          <w:rFonts w:asciiTheme="majorHAnsi" w:hAnsiTheme="majorHAnsi"/>
          <w:sz w:val="26"/>
          <w:szCs w:val="26"/>
        </w:rPr>
        <w:t>,</w:t>
      </w:r>
      <w:r w:rsidRPr="00C06360">
        <w:rPr>
          <w:rFonts w:asciiTheme="majorHAnsi" w:hAnsiTheme="majorHAnsi"/>
          <w:sz w:val="26"/>
          <w:szCs w:val="26"/>
        </w:rPr>
        <w:t xml:space="preserve"> alla quale si </w:t>
      </w:r>
      <w:r>
        <w:rPr>
          <w:rFonts w:asciiTheme="majorHAnsi" w:hAnsiTheme="majorHAnsi"/>
          <w:sz w:val="26"/>
          <w:szCs w:val="26"/>
        </w:rPr>
        <w:t>trasmette anche la presente comunicazione –</w:t>
      </w:r>
      <w:r w:rsidR="00570990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l’interruzione de</w:t>
      </w:r>
      <w:r w:rsidRPr="00C06360">
        <w:rPr>
          <w:rFonts w:asciiTheme="majorHAnsi" w:hAnsiTheme="majorHAnsi"/>
          <w:sz w:val="26"/>
          <w:szCs w:val="26"/>
        </w:rPr>
        <w:t>i rientri</w:t>
      </w:r>
      <w:r>
        <w:rPr>
          <w:rFonts w:asciiTheme="majorHAnsi" w:hAnsiTheme="majorHAnsi"/>
          <w:sz w:val="26"/>
          <w:szCs w:val="26"/>
        </w:rPr>
        <w:t>,</w:t>
      </w:r>
      <w:r w:rsidRPr="00C06360">
        <w:rPr>
          <w:rFonts w:asciiTheme="majorHAnsi" w:hAnsiTheme="majorHAnsi"/>
          <w:sz w:val="26"/>
          <w:szCs w:val="26"/>
        </w:rPr>
        <w:t xml:space="preserve"> fatte salve singole autorizzazioni da parte del Tribunale per i Minorenni </w:t>
      </w:r>
      <w:r>
        <w:rPr>
          <w:rFonts w:asciiTheme="majorHAnsi" w:hAnsiTheme="majorHAnsi"/>
          <w:sz w:val="26"/>
          <w:szCs w:val="26"/>
        </w:rPr>
        <w:t>in presenza di situazioni di grave e non altrimenti superabile disagio per il minore, fino a quando non verranno fornite indicazioni da parte dell’autorità sanitaria regionale.</w:t>
      </w:r>
    </w:p>
    <w:p w:rsidR="00F50174" w:rsidRDefault="00F50174" w:rsidP="00F50174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F50174" w:rsidRDefault="00F50174" w:rsidP="00F50174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Peraltro a tutt’oggi non sono arrivate al Tribunale sollecitazioni in tal senso, mentre si deve osservare che non si hanno notizie di focolai di COVID-19 all’interno delle comunità per minori fatto salvo un circoscritto, e risolto, episodio n una comunità terapeutica. Tali circostanze sono una conferma della professionalità degli operatori coinvolti, del senso di responsabilità dimostrato dai minori e dai famigliari, nonché della opportunità delle prescrizioni di cui alla nota 12 marzo 2020.</w:t>
      </w:r>
    </w:p>
    <w:p w:rsidR="001B765A" w:rsidRDefault="001B765A" w:rsidP="00C06360">
      <w:pPr>
        <w:numPr>
          <w:ilvl w:val="12"/>
          <w:numId w:val="0"/>
        </w:numPr>
        <w:jc w:val="both"/>
        <w:rPr>
          <w:rFonts w:asciiTheme="majorHAnsi" w:hAnsiTheme="majorHAnsi"/>
          <w:sz w:val="26"/>
          <w:szCs w:val="26"/>
        </w:rPr>
      </w:pPr>
    </w:p>
    <w:p w:rsidR="000F2CC2" w:rsidRPr="00C06360" w:rsidRDefault="0064797E" w:rsidP="0064797E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 w:rsidRPr="0064797E">
        <w:rPr>
          <w:rFonts w:asciiTheme="majorHAnsi" w:hAnsiTheme="majorHAnsi"/>
          <w:sz w:val="26"/>
          <w:szCs w:val="26"/>
        </w:rPr>
        <w:t xml:space="preserve">Si ritiene </w:t>
      </w:r>
      <w:r w:rsidR="00F50174">
        <w:rPr>
          <w:rFonts w:asciiTheme="majorHAnsi" w:hAnsiTheme="majorHAnsi"/>
          <w:sz w:val="26"/>
          <w:szCs w:val="26"/>
        </w:rPr>
        <w:t xml:space="preserve">infine </w:t>
      </w:r>
      <w:r w:rsidR="001B765A">
        <w:rPr>
          <w:rFonts w:asciiTheme="majorHAnsi" w:hAnsiTheme="majorHAnsi"/>
          <w:sz w:val="26"/>
          <w:szCs w:val="26"/>
        </w:rPr>
        <w:t xml:space="preserve">di dover </w:t>
      </w:r>
      <w:r w:rsidR="00F50174">
        <w:rPr>
          <w:rFonts w:asciiTheme="majorHAnsi" w:hAnsiTheme="majorHAnsi"/>
          <w:sz w:val="26"/>
          <w:szCs w:val="26"/>
        </w:rPr>
        <w:t xml:space="preserve">evidenziare </w:t>
      </w:r>
      <w:r w:rsidR="00570990">
        <w:rPr>
          <w:rFonts w:asciiTheme="majorHAnsi" w:hAnsiTheme="majorHAnsi"/>
          <w:sz w:val="26"/>
          <w:szCs w:val="26"/>
        </w:rPr>
        <w:t>che non appena autorizzate</w:t>
      </w:r>
      <w:r w:rsidR="001B765A">
        <w:rPr>
          <w:rFonts w:asciiTheme="majorHAnsi" w:hAnsiTheme="majorHAnsi"/>
          <w:sz w:val="26"/>
          <w:szCs w:val="26"/>
        </w:rPr>
        <w:t xml:space="preserve"> </w:t>
      </w:r>
      <w:r w:rsidR="00F50174">
        <w:rPr>
          <w:rFonts w:asciiTheme="majorHAnsi" w:hAnsiTheme="majorHAnsi"/>
          <w:sz w:val="26"/>
          <w:szCs w:val="26"/>
        </w:rPr>
        <w:t xml:space="preserve">le visite da parte </w:t>
      </w:r>
      <w:r w:rsidR="001B765A">
        <w:rPr>
          <w:rFonts w:asciiTheme="majorHAnsi" w:hAnsiTheme="majorHAnsi"/>
          <w:sz w:val="26"/>
          <w:szCs w:val="26"/>
        </w:rPr>
        <w:t>d</w:t>
      </w:r>
      <w:r w:rsidR="00F50174">
        <w:rPr>
          <w:rFonts w:asciiTheme="majorHAnsi" w:hAnsiTheme="majorHAnsi"/>
          <w:sz w:val="26"/>
          <w:szCs w:val="26"/>
        </w:rPr>
        <w:t>e</w:t>
      </w:r>
      <w:r w:rsidR="001B765A">
        <w:rPr>
          <w:rFonts w:asciiTheme="majorHAnsi" w:hAnsiTheme="majorHAnsi"/>
          <w:sz w:val="26"/>
          <w:szCs w:val="26"/>
        </w:rPr>
        <w:t>ll’autorità sanitari</w:t>
      </w:r>
      <w:r w:rsidR="00F50174">
        <w:rPr>
          <w:rFonts w:asciiTheme="majorHAnsi" w:hAnsiTheme="majorHAnsi"/>
          <w:sz w:val="26"/>
          <w:szCs w:val="26"/>
        </w:rPr>
        <w:t>a</w:t>
      </w:r>
      <w:r w:rsidR="001B765A">
        <w:rPr>
          <w:rFonts w:asciiTheme="majorHAnsi" w:hAnsiTheme="majorHAnsi"/>
          <w:sz w:val="26"/>
          <w:szCs w:val="26"/>
        </w:rPr>
        <w:t xml:space="preserve"> è opportuna una immediata riattivazione d</w:t>
      </w:r>
      <w:r>
        <w:rPr>
          <w:rFonts w:asciiTheme="majorHAnsi" w:hAnsiTheme="majorHAnsi"/>
          <w:sz w:val="26"/>
          <w:szCs w:val="26"/>
        </w:rPr>
        <w:t xml:space="preserve">egli </w:t>
      </w:r>
      <w:r w:rsidR="00F50174">
        <w:rPr>
          <w:rFonts w:asciiTheme="majorHAnsi" w:hAnsiTheme="majorHAnsi"/>
          <w:sz w:val="26"/>
          <w:szCs w:val="26"/>
        </w:rPr>
        <w:t xml:space="preserve">incontri sia </w:t>
      </w:r>
      <w:r>
        <w:rPr>
          <w:rFonts w:asciiTheme="majorHAnsi" w:hAnsiTheme="majorHAnsi"/>
          <w:sz w:val="26"/>
          <w:szCs w:val="26"/>
        </w:rPr>
        <w:t>attraverso in</w:t>
      </w:r>
      <w:r w:rsidR="001B765A">
        <w:rPr>
          <w:rFonts w:asciiTheme="majorHAnsi" w:hAnsiTheme="majorHAnsi"/>
          <w:sz w:val="26"/>
          <w:szCs w:val="26"/>
        </w:rPr>
        <w:t>contri all’</w:t>
      </w:r>
      <w:r w:rsidR="00F50174">
        <w:rPr>
          <w:rFonts w:asciiTheme="majorHAnsi" w:hAnsiTheme="majorHAnsi"/>
          <w:sz w:val="26"/>
          <w:szCs w:val="26"/>
        </w:rPr>
        <w:t>int</w:t>
      </w:r>
      <w:r w:rsidR="001B765A">
        <w:rPr>
          <w:rFonts w:asciiTheme="majorHAnsi" w:hAnsiTheme="majorHAnsi"/>
          <w:sz w:val="26"/>
          <w:szCs w:val="26"/>
        </w:rPr>
        <w:t>erno delle strutture</w:t>
      </w:r>
      <w:r w:rsidR="00F50174">
        <w:rPr>
          <w:rFonts w:asciiTheme="majorHAnsi" w:hAnsiTheme="majorHAnsi"/>
          <w:sz w:val="26"/>
          <w:szCs w:val="26"/>
        </w:rPr>
        <w:t xml:space="preserve"> </w:t>
      </w:r>
      <w:r w:rsidR="001B765A">
        <w:rPr>
          <w:rFonts w:asciiTheme="majorHAnsi" w:hAnsiTheme="majorHAnsi"/>
          <w:sz w:val="26"/>
          <w:szCs w:val="26"/>
        </w:rPr>
        <w:t>predisponendo appositi spazi presidiati dalle necessarie cautele sanitarie, sia attraverso incontri all’esterno mediante l’organizzazione di piccoli gruppi, vigilati da personale educativo e con preventiva</w:t>
      </w:r>
      <w:r w:rsidR="00EF0361">
        <w:rPr>
          <w:rFonts w:asciiTheme="majorHAnsi" w:hAnsiTheme="majorHAnsi"/>
          <w:sz w:val="26"/>
          <w:szCs w:val="26"/>
        </w:rPr>
        <w:t xml:space="preserve"> </w:t>
      </w:r>
      <w:r w:rsidR="001B765A">
        <w:rPr>
          <w:rFonts w:asciiTheme="majorHAnsi" w:hAnsiTheme="majorHAnsi"/>
          <w:sz w:val="26"/>
          <w:szCs w:val="26"/>
        </w:rPr>
        <w:t>e approfondita preparazione sia dei minori</w:t>
      </w:r>
      <w:r w:rsidR="00F50174">
        <w:rPr>
          <w:rFonts w:asciiTheme="majorHAnsi" w:hAnsiTheme="majorHAnsi"/>
          <w:sz w:val="26"/>
          <w:szCs w:val="26"/>
        </w:rPr>
        <w:t xml:space="preserve"> </w:t>
      </w:r>
      <w:r w:rsidR="00F50174">
        <w:rPr>
          <w:rFonts w:asciiTheme="majorHAnsi" w:hAnsiTheme="majorHAnsi"/>
          <w:sz w:val="26"/>
          <w:szCs w:val="26"/>
        </w:rPr>
        <w:t>(anche come mezzo pedagogico per sensibilizzare i minori alle cautele sanitarie cui si stano attenendo i cittadini che da giorni circolano per la Liguria)</w:t>
      </w:r>
      <w:r w:rsidR="00A05F43">
        <w:rPr>
          <w:rFonts w:asciiTheme="majorHAnsi" w:hAnsiTheme="majorHAnsi"/>
          <w:sz w:val="26"/>
          <w:szCs w:val="26"/>
        </w:rPr>
        <w:t>,</w:t>
      </w:r>
      <w:r w:rsidR="001B765A">
        <w:rPr>
          <w:rFonts w:asciiTheme="majorHAnsi" w:hAnsiTheme="majorHAnsi"/>
          <w:sz w:val="26"/>
          <w:szCs w:val="26"/>
        </w:rPr>
        <w:t xml:space="preserve"> che dei famigliari sulle regole sanitarie da seguire e con facoltà di sospensione degli incontri in presenza di trasgressioni</w:t>
      </w:r>
      <w:r w:rsidR="000F2CC2" w:rsidRPr="00C06360">
        <w:rPr>
          <w:rFonts w:asciiTheme="majorHAnsi" w:hAnsiTheme="majorHAnsi"/>
          <w:sz w:val="26"/>
          <w:szCs w:val="26"/>
        </w:rPr>
        <w:t>.</w:t>
      </w:r>
    </w:p>
    <w:p w:rsidR="000F2CC2" w:rsidRDefault="000F2CC2" w:rsidP="00C06360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F50174" w:rsidRDefault="00F50174" w:rsidP="00F50174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  <w:r w:rsidRPr="003258A6">
        <w:rPr>
          <w:rFonts w:asciiTheme="majorHAnsi" w:hAnsiTheme="majorHAnsi"/>
          <w:sz w:val="26"/>
          <w:szCs w:val="26"/>
        </w:rPr>
        <w:t xml:space="preserve">Diversa determinazione deve </w:t>
      </w:r>
      <w:r>
        <w:rPr>
          <w:rFonts w:asciiTheme="majorHAnsi" w:hAnsiTheme="majorHAnsi"/>
          <w:sz w:val="26"/>
          <w:szCs w:val="26"/>
        </w:rPr>
        <w:t xml:space="preserve">infine </w:t>
      </w:r>
      <w:r w:rsidRPr="003258A6">
        <w:rPr>
          <w:rFonts w:asciiTheme="majorHAnsi" w:hAnsiTheme="majorHAnsi"/>
          <w:sz w:val="26"/>
          <w:szCs w:val="26"/>
        </w:rPr>
        <w:t xml:space="preserve">formularsi con riferimento </w:t>
      </w:r>
      <w:r>
        <w:rPr>
          <w:rFonts w:asciiTheme="majorHAnsi" w:hAnsiTheme="majorHAnsi"/>
          <w:sz w:val="26"/>
          <w:szCs w:val="26"/>
        </w:rPr>
        <w:t>a</w:t>
      </w:r>
      <w:r>
        <w:rPr>
          <w:rFonts w:asciiTheme="majorHAnsi" w:hAnsiTheme="majorHAnsi"/>
          <w:sz w:val="26"/>
          <w:szCs w:val="26"/>
        </w:rPr>
        <w:t>lle visite ed a</w:t>
      </w:r>
      <w:r>
        <w:rPr>
          <w:rFonts w:asciiTheme="majorHAnsi" w:hAnsiTheme="majorHAnsi"/>
          <w:sz w:val="26"/>
          <w:szCs w:val="26"/>
        </w:rPr>
        <w:t xml:space="preserve">i </w:t>
      </w:r>
      <w:r w:rsidRPr="00C06360">
        <w:rPr>
          <w:rFonts w:asciiTheme="majorHAnsi" w:hAnsiTheme="majorHAnsi"/>
          <w:sz w:val="26"/>
          <w:szCs w:val="26"/>
        </w:rPr>
        <w:t>rientri nelle abitazioni</w:t>
      </w:r>
      <w:r>
        <w:rPr>
          <w:rFonts w:asciiTheme="majorHAnsi" w:hAnsiTheme="majorHAnsi"/>
          <w:sz w:val="26"/>
          <w:szCs w:val="26"/>
        </w:rPr>
        <w:t xml:space="preserve"> dei minori collocati in </w:t>
      </w:r>
      <w:r w:rsidRPr="00901E7E">
        <w:rPr>
          <w:rFonts w:asciiTheme="majorHAnsi" w:hAnsiTheme="majorHAnsi"/>
          <w:b/>
          <w:sz w:val="26"/>
          <w:szCs w:val="26"/>
        </w:rPr>
        <w:t>famiglie affidatarie</w:t>
      </w:r>
      <w:r>
        <w:rPr>
          <w:rFonts w:asciiTheme="majorHAnsi" w:hAnsiTheme="majorHAnsi"/>
          <w:b/>
          <w:sz w:val="26"/>
          <w:szCs w:val="26"/>
        </w:rPr>
        <w:t>.</w:t>
      </w:r>
      <w:r w:rsidR="00EF0361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In queste ipotesi si ritiene necessario raccogliere il consenso e la disponibilità della famiglia affidataria (la quale potrebbe avere congiunti conviventi appartenenti alle categorie “a rischio”), nonché la disponibilità e il senso di responsabilità della famiglia di origine al rispetto delle prescrizioni sanitarie e una rigorosa verifica della condizione sanitaria di entrambe le famiglie. In tali casi nulla osta alla ripresa degli incontri se già previsti nei precedenti decreti e solo in caso di contrasto tra famiglia e servizi si dovrà chiedere l’intervento dell’autorità giudiziaria.</w:t>
      </w:r>
    </w:p>
    <w:p w:rsidR="00F50174" w:rsidRDefault="00F50174" w:rsidP="00F50174">
      <w:pPr>
        <w:numPr>
          <w:ilvl w:val="12"/>
          <w:numId w:val="0"/>
        </w:num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C06360" w:rsidRPr="00570990" w:rsidRDefault="00C06360" w:rsidP="00570990">
      <w:pPr>
        <w:numPr>
          <w:ilvl w:val="12"/>
          <w:numId w:val="0"/>
        </w:numPr>
        <w:ind w:left="993" w:right="567"/>
        <w:jc w:val="both"/>
        <w:rPr>
          <w:rFonts w:asciiTheme="majorHAnsi" w:hAnsiTheme="majorHAnsi"/>
          <w:i/>
          <w:szCs w:val="26"/>
        </w:rPr>
      </w:pPr>
      <w:r w:rsidRPr="00570990">
        <w:rPr>
          <w:rFonts w:asciiTheme="majorHAnsi" w:hAnsiTheme="majorHAnsi"/>
          <w:i/>
          <w:szCs w:val="26"/>
        </w:rPr>
        <w:t>Si comunichi:</w:t>
      </w:r>
    </w:p>
    <w:p w:rsidR="00C06360" w:rsidRPr="00570990" w:rsidRDefault="000F2CC2" w:rsidP="00570990">
      <w:pPr>
        <w:numPr>
          <w:ilvl w:val="0"/>
          <w:numId w:val="3"/>
        </w:numPr>
        <w:ind w:left="993" w:right="567"/>
        <w:jc w:val="both"/>
        <w:rPr>
          <w:rFonts w:asciiTheme="majorHAnsi" w:hAnsiTheme="majorHAnsi"/>
          <w:i/>
          <w:szCs w:val="26"/>
        </w:rPr>
      </w:pPr>
      <w:proofErr w:type="gramStart"/>
      <w:r w:rsidRPr="00570990">
        <w:rPr>
          <w:rFonts w:asciiTheme="majorHAnsi" w:hAnsiTheme="majorHAnsi"/>
          <w:i/>
          <w:szCs w:val="26"/>
        </w:rPr>
        <w:t>alla</w:t>
      </w:r>
      <w:proofErr w:type="gramEnd"/>
      <w:r w:rsidRPr="00570990">
        <w:rPr>
          <w:rFonts w:asciiTheme="majorHAnsi" w:hAnsiTheme="majorHAnsi"/>
          <w:i/>
          <w:szCs w:val="26"/>
        </w:rPr>
        <w:t xml:space="preserve"> Procura presso questo Tribunale</w:t>
      </w:r>
    </w:p>
    <w:p w:rsidR="00C06360" w:rsidRPr="00570990" w:rsidRDefault="000F2CC2" w:rsidP="00570990">
      <w:pPr>
        <w:numPr>
          <w:ilvl w:val="0"/>
          <w:numId w:val="3"/>
        </w:numPr>
        <w:ind w:left="993" w:right="567"/>
        <w:jc w:val="both"/>
        <w:rPr>
          <w:rFonts w:asciiTheme="majorHAnsi" w:hAnsiTheme="majorHAnsi"/>
          <w:i/>
          <w:szCs w:val="26"/>
        </w:rPr>
      </w:pPr>
      <w:proofErr w:type="gramStart"/>
      <w:r w:rsidRPr="00570990">
        <w:rPr>
          <w:rFonts w:asciiTheme="majorHAnsi" w:hAnsiTheme="majorHAnsi"/>
          <w:i/>
          <w:szCs w:val="26"/>
        </w:rPr>
        <w:t>ai</w:t>
      </w:r>
      <w:proofErr w:type="gramEnd"/>
      <w:r w:rsidRPr="00570990">
        <w:rPr>
          <w:rFonts w:asciiTheme="majorHAnsi" w:hAnsiTheme="majorHAnsi"/>
          <w:i/>
          <w:szCs w:val="26"/>
        </w:rPr>
        <w:t xml:space="preserve"> responsabili de</w:t>
      </w:r>
      <w:r w:rsidR="00C06360" w:rsidRPr="00570990">
        <w:rPr>
          <w:rFonts w:asciiTheme="majorHAnsi" w:hAnsiTheme="majorHAnsi"/>
          <w:i/>
          <w:szCs w:val="26"/>
        </w:rPr>
        <w:t xml:space="preserve">i Servizi sociali </w:t>
      </w:r>
      <w:r w:rsidRPr="00570990">
        <w:rPr>
          <w:rFonts w:asciiTheme="majorHAnsi" w:hAnsiTheme="majorHAnsi"/>
          <w:i/>
          <w:szCs w:val="26"/>
        </w:rPr>
        <w:t xml:space="preserve">del distretto </w:t>
      </w:r>
      <w:r w:rsidR="00C06360" w:rsidRPr="00570990">
        <w:rPr>
          <w:rFonts w:asciiTheme="majorHAnsi" w:hAnsiTheme="majorHAnsi"/>
          <w:i/>
          <w:szCs w:val="26"/>
        </w:rPr>
        <w:t>(anche per l’inoltro alle comunità ricadenti nel territorio di competenza)</w:t>
      </w:r>
    </w:p>
    <w:p w:rsidR="000F2CC2" w:rsidRPr="00570990" w:rsidRDefault="000F2CC2" w:rsidP="00570990">
      <w:pPr>
        <w:numPr>
          <w:ilvl w:val="0"/>
          <w:numId w:val="3"/>
        </w:numPr>
        <w:ind w:left="993" w:right="567"/>
        <w:jc w:val="both"/>
        <w:rPr>
          <w:rFonts w:asciiTheme="majorHAnsi" w:hAnsiTheme="majorHAnsi"/>
          <w:i/>
          <w:szCs w:val="26"/>
        </w:rPr>
      </w:pPr>
      <w:r w:rsidRPr="00570990">
        <w:rPr>
          <w:rFonts w:asciiTheme="majorHAnsi" w:hAnsiTheme="majorHAnsi"/>
          <w:i/>
          <w:szCs w:val="26"/>
        </w:rPr>
        <w:t>all’Assessorato Regionale della Sanità</w:t>
      </w:r>
      <w:r w:rsidR="0064797E" w:rsidRPr="00570990">
        <w:rPr>
          <w:rFonts w:asciiTheme="majorHAnsi" w:hAnsiTheme="majorHAnsi"/>
          <w:i/>
          <w:szCs w:val="26"/>
        </w:rPr>
        <w:t xml:space="preserve"> e alla Direzione Area Socio Sanitaria di Alisa</w:t>
      </w:r>
      <w:r w:rsidRPr="00570990">
        <w:rPr>
          <w:rFonts w:asciiTheme="majorHAnsi" w:hAnsiTheme="majorHAnsi"/>
          <w:i/>
          <w:szCs w:val="26"/>
        </w:rPr>
        <w:t>.</w:t>
      </w:r>
    </w:p>
    <w:p w:rsidR="00C06360" w:rsidRPr="00570990" w:rsidRDefault="00C06360" w:rsidP="00570990">
      <w:pPr>
        <w:numPr>
          <w:ilvl w:val="0"/>
          <w:numId w:val="3"/>
        </w:numPr>
        <w:ind w:left="993" w:right="567"/>
        <w:jc w:val="both"/>
        <w:rPr>
          <w:rFonts w:asciiTheme="majorHAnsi" w:hAnsiTheme="majorHAnsi"/>
          <w:i/>
          <w:szCs w:val="26"/>
        </w:rPr>
      </w:pPr>
      <w:proofErr w:type="gramStart"/>
      <w:r w:rsidRPr="00570990">
        <w:rPr>
          <w:rFonts w:asciiTheme="majorHAnsi" w:hAnsiTheme="majorHAnsi"/>
          <w:i/>
          <w:szCs w:val="26"/>
        </w:rPr>
        <w:lastRenderedPageBreak/>
        <w:t>alle</w:t>
      </w:r>
      <w:proofErr w:type="gramEnd"/>
      <w:r w:rsidRPr="00570990">
        <w:rPr>
          <w:rFonts w:asciiTheme="majorHAnsi" w:hAnsiTheme="majorHAnsi"/>
          <w:i/>
          <w:szCs w:val="26"/>
        </w:rPr>
        <w:t xml:space="preserve"> comunità</w:t>
      </w:r>
      <w:r w:rsidR="00AD2941" w:rsidRPr="00570990">
        <w:rPr>
          <w:rFonts w:asciiTheme="majorHAnsi" w:hAnsiTheme="majorHAnsi"/>
          <w:i/>
          <w:szCs w:val="26"/>
        </w:rPr>
        <w:t>, case famiglia</w:t>
      </w:r>
      <w:r w:rsidRPr="00570990">
        <w:rPr>
          <w:rFonts w:asciiTheme="majorHAnsi" w:hAnsiTheme="majorHAnsi"/>
          <w:i/>
          <w:szCs w:val="26"/>
        </w:rPr>
        <w:t xml:space="preserve"> che hanno inoltrato richieste di chiarimenti a questo Tribunale</w:t>
      </w:r>
    </w:p>
    <w:p w:rsidR="00C06360" w:rsidRPr="00570990" w:rsidRDefault="00C06360" w:rsidP="00570990">
      <w:pPr>
        <w:numPr>
          <w:ilvl w:val="0"/>
          <w:numId w:val="3"/>
        </w:numPr>
        <w:ind w:left="993" w:right="567"/>
        <w:jc w:val="both"/>
        <w:rPr>
          <w:rFonts w:asciiTheme="majorHAnsi" w:hAnsiTheme="majorHAnsi"/>
          <w:i/>
          <w:szCs w:val="26"/>
        </w:rPr>
      </w:pPr>
      <w:proofErr w:type="gramStart"/>
      <w:r w:rsidRPr="00570990">
        <w:rPr>
          <w:rFonts w:asciiTheme="majorHAnsi" w:hAnsiTheme="majorHAnsi"/>
          <w:i/>
          <w:szCs w:val="26"/>
          <w:u w:val="single"/>
        </w:rPr>
        <w:t>per</w:t>
      </w:r>
      <w:proofErr w:type="gramEnd"/>
      <w:r w:rsidRPr="00570990">
        <w:rPr>
          <w:rFonts w:asciiTheme="majorHAnsi" w:hAnsiTheme="majorHAnsi"/>
          <w:i/>
          <w:szCs w:val="26"/>
          <w:u w:val="single"/>
        </w:rPr>
        <w:t xml:space="preserve"> conoscenza</w:t>
      </w:r>
      <w:r w:rsidR="00C255C0" w:rsidRPr="00570990">
        <w:rPr>
          <w:rFonts w:asciiTheme="majorHAnsi" w:hAnsiTheme="majorHAnsi"/>
          <w:i/>
          <w:szCs w:val="26"/>
        </w:rPr>
        <w:t xml:space="preserve"> </w:t>
      </w:r>
      <w:r w:rsidRPr="00570990">
        <w:rPr>
          <w:rFonts w:asciiTheme="majorHAnsi" w:hAnsiTheme="majorHAnsi"/>
          <w:i/>
          <w:szCs w:val="26"/>
        </w:rPr>
        <w:t xml:space="preserve">ai </w:t>
      </w:r>
      <w:r w:rsidR="00C255C0" w:rsidRPr="00570990">
        <w:rPr>
          <w:rFonts w:asciiTheme="majorHAnsi" w:hAnsiTheme="majorHAnsi"/>
          <w:i/>
          <w:szCs w:val="26"/>
        </w:rPr>
        <w:t>P</w:t>
      </w:r>
      <w:r w:rsidRPr="00570990">
        <w:rPr>
          <w:rFonts w:asciiTheme="majorHAnsi" w:hAnsiTheme="majorHAnsi"/>
          <w:i/>
          <w:szCs w:val="26"/>
        </w:rPr>
        <w:t xml:space="preserve">residenti dei Tribunali </w:t>
      </w:r>
      <w:r w:rsidR="00C255C0" w:rsidRPr="00570990">
        <w:rPr>
          <w:rFonts w:asciiTheme="majorHAnsi" w:hAnsiTheme="majorHAnsi"/>
          <w:i/>
          <w:szCs w:val="26"/>
        </w:rPr>
        <w:t>del distretto</w:t>
      </w:r>
      <w:r w:rsidR="00EF0361">
        <w:rPr>
          <w:rFonts w:asciiTheme="majorHAnsi" w:hAnsiTheme="majorHAnsi"/>
          <w:i/>
          <w:szCs w:val="26"/>
        </w:rPr>
        <w:t xml:space="preserve"> </w:t>
      </w:r>
      <w:r w:rsidRPr="00570990">
        <w:rPr>
          <w:rFonts w:asciiTheme="majorHAnsi" w:hAnsiTheme="majorHAnsi"/>
          <w:i/>
          <w:szCs w:val="26"/>
        </w:rPr>
        <w:t>per l’inolt</w:t>
      </w:r>
      <w:r w:rsidR="00EE099E" w:rsidRPr="00570990">
        <w:rPr>
          <w:rFonts w:asciiTheme="majorHAnsi" w:hAnsiTheme="majorHAnsi"/>
          <w:i/>
          <w:szCs w:val="26"/>
        </w:rPr>
        <w:t>r</w:t>
      </w:r>
      <w:r w:rsidRPr="00570990">
        <w:rPr>
          <w:rFonts w:asciiTheme="majorHAnsi" w:hAnsiTheme="majorHAnsi"/>
          <w:i/>
          <w:szCs w:val="26"/>
        </w:rPr>
        <w:t xml:space="preserve">o ai Giudici delle sezioni famiglia </w:t>
      </w:r>
      <w:r w:rsidR="00570990">
        <w:rPr>
          <w:rFonts w:asciiTheme="majorHAnsi" w:hAnsiTheme="majorHAnsi"/>
          <w:i/>
          <w:szCs w:val="26"/>
        </w:rPr>
        <w:t>ai Giudici tutelari</w:t>
      </w:r>
    </w:p>
    <w:p w:rsidR="0064797E" w:rsidRPr="00570990" w:rsidRDefault="00F50174" w:rsidP="00570990">
      <w:pPr>
        <w:numPr>
          <w:ilvl w:val="0"/>
          <w:numId w:val="3"/>
        </w:numPr>
        <w:ind w:left="993" w:right="567"/>
        <w:jc w:val="both"/>
        <w:rPr>
          <w:rFonts w:asciiTheme="majorHAnsi" w:hAnsiTheme="majorHAnsi"/>
          <w:i/>
          <w:szCs w:val="26"/>
        </w:rPr>
      </w:pPr>
      <w:proofErr w:type="gramStart"/>
      <w:r w:rsidRPr="00570990">
        <w:rPr>
          <w:rFonts w:asciiTheme="majorHAnsi" w:hAnsiTheme="majorHAnsi"/>
          <w:i/>
          <w:szCs w:val="26"/>
        </w:rPr>
        <w:t>a</w:t>
      </w:r>
      <w:proofErr w:type="gramEnd"/>
      <w:r w:rsidRPr="00570990">
        <w:rPr>
          <w:rFonts w:asciiTheme="majorHAnsi" w:hAnsiTheme="majorHAnsi"/>
          <w:i/>
          <w:szCs w:val="26"/>
        </w:rPr>
        <w:t xml:space="preserve"> </w:t>
      </w:r>
      <w:r w:rsidR="00AD2941" w:rsidRPr="00570990">
        <w:rPr>
          <w:rFonts w:asciiTheme="majorHAnsi" w:hAnsiTheme="majorHAnsi"/>
          <w:i/>
          <w:szCs w:val="26"/>
        </w:rPr>
        <w:t>Giovanni Battista Pastorino</w:t>
      </w:r>
      <w:r w:rsidR="00AD2941" w:rsidRPr="00570990">
        <w:rPr>
          <w:rFonts w:asciiTheme="majorHAnsi" w:hAnsiTheme="majorHAnsi"/>
          <w:i/>
          <w:szCs w:val="26"/>
        </w:rPr>
        <w:t xml:space="preserve">, </w:t>
      </w:r>
      <w:r w:rsidR="00AD2941" w:rsidRPr="00570990">
        <w:rPr>
          <w:rFonts w:asciiTheme="majorHAnsi" w:hAnsiTheme="majorHAnsi"/>
          <w:i/>
          <w:szCs w:val="26"/>
        </w:rPr>
        <w:t>Consigliere capogruppo regionale Linea Condivisa</w:t>
      </w:r>
      <w:r w:rsidR="00AD2941" w:rsidRPr="00570990">
        <w:rPr>
          <w:rFonts w:asciiTheme="majorHAnsi" w:hAnsiTheme="majorHAnsi"/>
          <w:i/>
          <w:szCs w:val="26"/>
        </w:rPr>
        <w:t xml:space="preserve">, </w:t>
      </w:r>
      <w:r w:rsidR="00AD2941" w:rsidRPr="00570990">
        <w:rPr>
          <w:rFonts w:asciiTheme="majorHAnsi" w:hAnsiTheme="majorHAnsi"/>
          <w:i/>
          <w:szCs w:val="26"/>
        </w:rPr>
        <w:t>Vicepresidente della Commissione II Sanità</w:t>
      </w:r>
      <w:r w:rsidR="00570990">
        <w:rPr>
          <w:rFonts w:asciiTheme="majorHAnsi" w:hAnsiTheme="majorHAnsi"/>
          <w:i/>
          <w:szCs w:val="26"/>
        </w:rPr>
        <w:t>.</w:t>
      </w:r>
    </w:p>
    <w:p w:rsidR="000F2CC2" w:rsidRPr="00C06360" w:rsidRDefault="000F2CC2" w:rsidP="00C06360">
      <w:pPr>
        <w:pStyle w:val="Titolo2"/>
        <w:ind w:firstLine="708"/>
        <w:rPr>
          <w:rFonts w:asciiTheme="majorHAnsi" w:hAnsiTheme="majorHAnsi"/>
          <w:b w:val="0"/>
          <w:sz w:val="26"/>
          <w:szCs w:val="26"/>
        </w:rPr>
      </w:pPr>
    </w:p>
    <w:p w:rsidR="000F2CC2" w:rsidRPr="00C06360" w:rsidRDefault="000F2CC2" w:rsidP="00C06360">
      <w:pPr>
        <w:pStyle w:val="Titolo2"/>
        <w:jc w:val="left"/>
        <w:rPr>
          <w:rFonts w:asciiTheme="majorHAnsi" w:hAnsiTheme="majorHAnsi"/>
          <w:b w:val="0"/>
          <w:sz w:val="26"/>
          <w:szCs w:val="26"/>
        </w:rPr>
      </w:pPr>
      <w:r w:rsidRPr="00C06360">
        <w:rPr>
          <w:rFonts w:asciiTheme="majorHAnsi" w:hAnsiTheme="majorHAnsi"/>
          <w:b w:val="0"/>
          <w:sz w:val="26"/>
          <w:szCs w:val="26"/>
        </w:rPr>
        <w:t xml:space="preserve">Genova, </w:t>
      </w:r>
      <w:r w:rsidR="00AD2941">
        <w:rPr>
          <w:rFonts w:asciiTheme="majorHAnsi" w:hAnsiTheme="majorHAnsi"/>
          <w:b w:val="0"/>
          <w:sz w:val="26"/>
          <w:szCs w:val="26"/>
        </w:rPr>
        <w:t>14 maggio 2020</w:t>
      </w:r>
    </w:p>
    <w:p w:rsidR="000F2CC2" w:rsidRPr="00C06360" w:rsidRDefault="000F2CC2" w:rsidP="00C06360">
      <w:pPr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p w:rsidR="000F2CC2" w:rsidRPr="00C06360" w:rsidRDefault="000F2CC2" w:rsidP="00C06360">
      <w:pPr>
        <w:pStyle w:val="Titolo3"/>
        <w:ind w:left="708" w:firstLine="708"/>
        <w:rPr>
          <w:rFonts w:asciiTheme="majorHAnsi" w:hAnsiTheme="majorHAnsi"/>
          <w:sz w:val="26"/>
          <w:szCs w:val="26"/>
        </w:rPr>
      </w:pPr>
      <w:r w:rsidRPr="00C06360">
        <w:rPr>
          <w:rFonts w:asciiTheme="majorHAnsi" w:hAnsiTheme="majorHAnsi"/>
          <w:sz w:val="26"/>
          <w:szCs w:val="26"/>
        </w:rPr>
        <w:t xml:space="preserve">IL PRESIDENTE DEL TRIBUNALE </w:t>
      </w:r>
      <w:r w:rsidR="00930CD1">
        <w:rPr>
          <w:rFonts w:asciiTheme="majorHAnsi" w:hAnsiTheme="majorHAnsi"/>
          <w:sz w:val="26"/>
          <w:szCs w:val="26"/>
        </w:rPr>
        <w:t>PER I MINORENNI DI GENOVA</w:t>
      </w:r>
    </w:p>
    <w:p w:rsidR="000F2CC2" w:rsidRPr="00E04CB4" w:rsidRDefault="000F2CC2" w:rsidP="00C06360">
      <w:pPr>
        <w:pStyle w:val="Titolo3"/>
        <w:ind w:left="708" w:firstLine="708"/>
        <w:rPr>
          <w:rFonts w:asciiTheme="majorHAnsi" w:hAnsiTheme="majorHAnsi"/>
          <w:b w:val="0"/>
          <w:i/>
          <w:sz w:val="26"/>
          <w:szCs w:val="26"/>
        </w:rPr>
      </w:pPr>
      <w:r w:rsidRPr="00E04CB4">
        <w:rPr>
          <w:rFonts w:asciiTheme="majorHAnsi" w:hAnsiTheme="majorHAnsi"/>
          <w:b w:val="0"/>
          <w:i/>
          <w:sz w:val="26"/>
          <w:szCs w:val="26"/>
        </w:rPr>
        <w:t>(</w:t>
      </w:r>
      <w:proofErr w:type="gramStart"/>
      <w:r w:rsidRPr="00E04CB4">
        <w:rPr>
          <w:rFonts w:asciiTheme="majorHAnsi" w:hAnsiTheme="majorHAnsi"/>
          <w:b w:val="0"/>
          <w:i/>
          <w:sz w:val="26"/>
          <w:szCs w:val="26"/>
        </w:rPr>
        <w:t>dott.</w:t>
      </w:r>
      <w:proofErr w:type="gramEnd"/>
      <w:r w:rsidRPr="00E04CB4">
        <w:rPr>
          <w:rFonts w:asciiTheme="majorHAnsi" w:hAnsiTheme="majorHAnsi"/>
          <w:b w:val="0"/>
          <w:i/>
          <w:sz w:val="26"/>
          <w:szCs w:val="26"/>
        </w:rPr>
        <w:t xml:space="preserve"> Luca Villa)</w:t>
      </w:r>
    </w:p>
    <w:sectPr w:rsidR="000F2CC2" w:rsidRPr="00E04CB4" w:rsidSect="00F50174">
      <w:footerReference w:type="default" r:id="rId8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B3" w:rsidRDefault="001123B3">
      <w:r>
        <w:separator/>
      </w:r>
    </w:p>
  </w:endnote>
  <w:endnote w:type="continuationSeparator" w:id="0">
    <w:p w:rsidR="001123B3" w:rsidRDefault="0011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52" w:rsidRDefault="00A90152">
    <w:pPr>
      <w:pStyle w:val="Pidipagina"/>
      <w:pBdr>
        <w:top w:val="single" w:sz="4" w:space="1" w:color="auto"/>
      </w:pBdr>
      <w:jc w:val="center"/>
      <w:rPr>
        <w:i/>
        <w:sz w:val="22"/>
      </w:rPr>
    </w:pPr>
    <w:r>
      <w:rPr>
        <w:i/>
        <w:sz w:val="22"/>
      </w:rPr>
      <w:t xml:space="preserve">Dr </w:t>
    </w:r>
    <w:smartTag w:uri="urn:schemas-microsoft-com:office:smarttags" w:element="PersonName">
      <w:smartTagPr>
        <w:attr w:name="ProductID" w:val="Luca Villa"/>
      </w:smartTagPr>
      <w:r>
        <w:rPr>
          <w:i/>
          <w:sz w:val="22"/>
        </w:rPr>
        <w:t>Luca Villa</w:t>
      </w:r>
    </w:smartTag>
    <w:r>
      <w:rPr>
        <w:i/>
        <w:sz w:val="22"/>
      </w:rPr>
      <w:t xml:space="preserve"> – </w:t>
    </w:r>
    <w:r w:rsidR="00395516">
      <w:rPr>
        <w:i/>
        <w:sz w:val="22"/>
      </w:rPr>
      <w:t xml:space="preserve">Presidente </w:t>
    </w:r>
    <w:r>
      <w:rPr>
        <w:i/>
        <w:sz w:val="22"/>
      </w:rPr>
      <w:t xml:space="preserve">Tribunale per i Minorenni di </w:t>
    </w:r>
    <w:r w:rsidR="008A55AE">
      <w:rPr>
        <w:i/>
        <w:sz w:val="22"/>
      </w:rPr>
      <w:t>Genova</w:t>
    </w:r>
    <w:r>
      <w:rPr>
        <w:i/>
        <w:sz w:val="22"/>
      </w:rPr>
      <w:t xml:space="preserve"> </w:t>
    </w:r>
  </w:p>
  <w:p w:rsidR="00A90152" w:rsidRDefault="00A901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B3" w:rsidRDefault="001123B3">
      <w:r>
        <w:separator/>
      </w:r>
    </w:p>
  </w:footnote>
  <w:footnote w:type="continuationSeparator" w:id="0">
    <w:p w:rsidR="001123B3" w:rsidRDefault="0011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18E3"/>
    <w:multiLevelType w:val="singleLevel"/>
    <w:tmpl w:val="03263E56"/>
    <w:lvl w:ilvl="0">
      <w:start w:val="8"/>
      <w:numFmt w:val="bullet"/>
      <w:lvlText w:val="-"/>
      <w:lvlJc w:val="left"/>
      <w:pPr>
        <w:tabs>
          <w:tab w:val="num" w:pos="6345"/>
        </w:tabs>
        <w:ind w:left="6345" w:hanging="360"/>
      </w:pPr>
      <w:rPr>
        <w:rFonts w:ascii="Times New Roman" w:hAnsi="Times New Roman" w:hint="default"/>
      </w:rPr>
    </w:lvl>
  </w:abstractNum>
  <w:abstractNum w:abstractNumId="1" w15:restartNumberingAfterBreak="0">
    <w:nsid w:val="21E21C1D"/>
    <w:multiLevelType w:val="hybridMultilevel"/>
    <w:tmpl w:val="7876DB10"/>
    <w:lvl w:ilvl="0" w:tplc="3D02D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01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FCE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23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80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1AB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47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22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B48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04CFD"/>
    <w:multiLevelType w:val="hybridMultilevel"/>
    <w:tmpl w:val="47C85422"/>
    <w:lvl w:ilvl="0" w:tplc="E7F899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2"/>
    <w:rsid w:val="000F2CC2"/>
    <w:rsid w:val="00110043"/>
    <w:rsid w:val="001123B3"/>
    <w:rsid w:val="001158E1"/>
    <w:rsid w:val="00163520"/>
    <w:rsid w:val="001B765A"/>
    <w:rsid w:val="001F161A"/>
    <w:rsid w:val="00291ADF"/>
    <w:rsid w:val="00295515"/>
    <w:rsid w:val="00306C3C"/>
    <w:rsid w:val="003258A6"/>
    <w:rsid w:val="00395516"/>
    <w:rsid w:val="00554A40"/>
    <w:rsid w:val="00570990"/>
    <w:rsid w:val="00583150"/>
    <w:rsid w:val="00596F99"/>
    <w:rsid w:val="005C6298"/>
    <w:rsid w:val="00644640"/>
    <w:rsid w:val="0064797E"/>
    <w:rsid w:val="007351EF"/>
    <w:rsid w:val="00741F2E"/>
    <w:rsid w:val="008509E5"/>
    <w:rsid w:val="00857ADE"/>
    <w:rsid w:val="00880F85"/>
    <w:rsid w:val="008A55AE"/>
    <w:rsid w:val="00901E7E"/>
    <w:rsid w:val="00930CD1"/>
    <w:rsid w:val="009A1590"/>
    <w:rsid w:val="009D088B"/>
    <w:rsid w:val="00A03887"/>
    <w:rsid w:val="00A05F43"/>
    <w:rsid w:val="00A55E2B"/>
    <w:rsid w:val="00A90152"/>
    <w:rsid w:val="00AC2649"/>
    <w:rsid w:val="00AD2941"/>
    <w:rsid w:val="00BA523F"/>
    <w:rsid w:val="00C06360"/>
    <w:rsid w:val="00C06DCC"/>
    <w:rsid w:val="00C255C0"/>
    <w:rsid w:val="00CE351A"/>
    <w:rsid w:val="00D4247E"/>
    <w:rsid w:val="00DF173A"/>
    <w:rsid w:val="00E044A5"/>
    <w:rsid w:val="00E04CB4"/>
    <w:rsid w:val="00E07822"/>
    <w:rsid w:val="00E63931"/>
    <w:rsid w:val="00EC7DD9"/>
    <w:rsid w:val="00EE099E"/>
    <w:rsid w:val="00EF0361"/>
    <w:rsid w:val="00F50174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60CA7-A741-4C91-9127-CA32A36C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bCs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sz w:val="4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Comic Sans MS" w:hAnsi="Comic Sans MS"/>
      <w:b/>
      <w:bCs/>
      <w:sz w:val="22"/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360" w:lineRule="atLeast"/>
      <w:jc w:val="both"/>
    </w:pPr>
    <w:rPr>
      <w:rFonts w:ascii="Comic Sans MS" w:hAnsi="Comic Sans MS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Comic Sans MS" w:hAnsi="Comic Sans MS"/>
      <w:b/>
      <w:sz w:val="36"/>
    </w:rPr>
  </w:style>
  <w:style w:type="table" w:styleId="Grigliatabella">
    <w:name w:val="Table Grid"/>
    <w:basedOn w:val="Tabellanormale"/>
    <w:uiPriority w:val="59"/>
    <w:rsid w:val="008A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5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.villa\Documents\Modelli%20di%20Office%20personalizzati\!modelli%20civili\missiva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missiva generica</Template>
  <TotalTime>350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 Villa</dc:creator>
  <cp:keywords/>
  <dc:description/>
  <cp:lastModifiedBy>Luca Villa</cp:lastModifiedBy>
  <cp:revision>8</cp:revision>
  <cp:lastPrinted>2020-03-12T08:41:00Z</cp:lastPrinted>
  <dcterms:created xsi:type="dcterms:W3CDTF">2020-05-12T09:48:00Z</dcterms:created>
  <dcterms:modified xsi:type="dcterms:W3CDTF">2020-05-14T16:53:00Z</dcterms:modified>
</cp:coreProperties>
</file>