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5190E" w14:textId="77777777" w:rsidR="00DA3A01" w:rsidRPr="0066624F" w:rsidRDefault="00DA3A01" w:rsidP="008019BD">
      <w:pPr>
        <w:ind w:right="474"/>
        <w:jc w:val="center"/>
        <w:rPr>
          <w:rFonts w:ascii="Times New Roman" w:hAnsi="Times New Roman"/>
          <w:sz w:val="28"/>
          <w:szCs w:val="28"/>
        </w:rPr>
      </w:pPr>
      <w:r w:rsidRPr="0066624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58C53D" wp14:editId="7493BD27">
            <wp:extent cx="457200" cy="501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1DA7" w14:textId="77777777" w:rsidR="00DA3A01" w:rsidRPr="008019BD" w:rsidRDefault="00DA3A01" w:rsidP="008019B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474"/>
        <w:jc w:val="center"/>
        <w:rPr>
          <w:rFonts w:ascii="Times New Roman" w:hAnsi="Times New Roman"/>
          <w:sz w:val="56"/>
          <w:szCs w:val="56"/>
        </w:rPr>
      </w:pPr>
      <w:r w:rsidRPr="008019BD">
        <w:rPr>
          <w:rFonts w:ascii="Times New Roman" w:hAnsi="Times New Roman"/>
          <w:sz w:val="56"/>
          <w:szCs w:val="56"/>
        </w:rPr>
        <w:t>TRIBUNALE di GENOVA</w:t>
      </w:r>
    </w:p>
    <w:p w14:paraId="03317B45" w14:textId="77777777" w:rsidR="00DA3A01" w:rsidRPr="003174E8" w:rsidRDefault="00DA3A01" w:rsidP="008019B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474"/>
        <w:jc w:val="center"/>
        <w:rPr>
          <w:rFonts w:ascii="Times New Roman" w:hAnsi="Times New Roman"/>
          <w:sz w:val="36"/>
          <w:szCs w:val="36"/>
        </w:rPr>
      </w:pPr>
      <w:r w:rsidRPr="003174E8">
        <w:rPr>
          <w:rFonts w:ascii="Times New Roman" w:hAnsi="Times New Roman"/>
          <w:sz w:val="36"/>
          <w:szCs w:val="36"/>
        </w:rPr>
        <w:t>Sezione VII Civile – Fallimentare</w:t>
      </w:r>
    </w:p>
    <w:p w14:paraId="1C52B340" w14:textId="77777777" w:rsidR="00DA3A01" w:rsidRPr="0066624F" w:rsidRDefault="00DA3A01" w:rsidP="008019BD">
      <w:pPr>
        <w:spacing w:after="120" w:line="240" w:lineRule="auto"/>
        <w:ind w:right="474" w:firstLine="567"/>
        <w:jc w:val="center"/>
        <w:rPr>
          <w:rFonts w:ascii="Times New Roman" w:hAnsi="Times New Roman"/>
          <w:i/>
          <w:sz w:val="28"/>
          <w:szCs w:val="28"/>
        </w:rPr>
      </w:pPr>
      <w:r w:rsidRPr="0066624F">
        <w:rPr>
          <w:rFonts w:ascii="Times New Roman" w:hAnsi="Times New Roman"/>
          <w:i/>
          <w:sz w:val="28"/>
          <w:szCs w:val="28"/>
        </w:rPr>
        <w:t>Il Presidente di Sezione</w:t>
      </w:r>
    </w:p>
    <w:p w14:paraId="2BB36609" w14:textId="2A248EE1" w:rsidR="00DA3A01" w:rsidRPr="008019BD" w:rsidRDefault="00DA3A01" w:rsidP="008019BD">
      <w:pPr>
        <w:spacing w:after="0" w:line="240" w:lineRule="auto"/>
        <w:ind w:right="474"/>
        <w:rPr>
          <w:rFonts w:ascii="Times New Roman" w:hAnsi="Times New Roman"/>
          <w:b/>
          <w:i/>
          <w:sz w:val="36"/>
          <w:szCs w:val="36"/>
        </w:rPr>
      </w:pPr>
      <w:r w:rsidRPr="008019BD">
        <w:rPr>
          <w:rFonts w:ascii="Times New Roman" w:hAnsi="Times New Roman"/>
          <w:b/>
          <w:i/>
          <w:sz w:val="36"/>
          <w:szCs w:val="36"/>
        </w:rPr>
        <w:t xml:space="preserve">Ai </w:t>
      </w:r>
      <w:proofErr w:type="spellStart"/>
      <w:r w:rsidRPr="008019BD">
        <w:rPr>
          <w:rFonts w:ascii="Times New Roman" w:hAnsi="Times New Roman"/>
          <w:b/>
          <w:i/>
          <w:sz w:val="36"/>
          <w:szCs w:val="36"/>
        </w:rPr>
        <w:t>sigg.ri</w:t>
      </w:r>
      <w:proofErr w:type="spellEnd"/>
      <w:r w:rsidRPr="008019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8019BD">
        <w:rPr>
          <w:rFonts w:ascii="Times New Roman" w:hAnsi="Times New Roman"/>
          <w:b/>
          <w:i/>
          <w:sz w:val="36"/>
          <w:szCs w:val="36"/>
        </w:rPr>
        <w:t>Curatori fallimentari</w:t>
      </w:r>
    </w:p>
    <w:p w14:paraId="1C5E3233" w14:textId="77777777" w:rsidR="00DA3A01" w:rsidRDefault="00DA3A01" w:rsidP="008019BD">
      <w:pPr>
        <w:spacing w:after="0" w:line="240" w:lineRule="auto"/>
        <w:ind w:right="47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e Ordini Professionali)</w:t>
      </w:r>
    </w:p>
    <w:p w14:paraId="64B89A94" w14:textId="77777777" w:rsidR="00DA3A01" w:rsidRPr="0066624F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/>
          <w:sz w:val="28"/>
          <w:szCs w:val="28"/>
        </w:rPr>
        <w:t>, per conoscenza:</w:t>
      </w:r>
    </w:p>
    <w:p w14:paraId="190F079E" w14:textId="7A41C99A" w:rsidR="00DA3A01" w:rsidRPr="008019BD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i/>
          <w:sz w:val="28"/>
          <w:szCs w:val="28"/>
        </w:rPr>
      </w:pPr>
      <w:r w:rsidRPr="008019BD">
        <w:rPr>
          <w:rFonts w:ascii="Times New Roman" w:hAnsi="Times New Roman"/>
          <w:i/>
          <w:sz w:val="28"/>
          <w:szCs w:val="28"/>
        </w:rPr>
        <w:t xml:space="preserve">                </w:t>
      </w:r>
      <w:r w:rsidR="008019BD" w:rsidRPr="008019BD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8019BD">
        <w:rPr>
          <w:rFonts w:ascii="Times New Roman" w:hAnsi="Times New Roman"/>
          <w:i/>
          <w:sz w:val="28"/>
          <w:szCs w:val="28"/>
        </w:rPr>
        <w:t xml:space="preserve">  </w:t>
      </w:r>
      <w:r w:rsidRPr="008019BD">
        <w:rPr>
          <w:rFonts w:ascii="Times New Roman" w:hAnsi="Times New Roman"/>
          <w:i/>
          <w:sz w:val="28"/>
          <w:szCs w:val="28"/>
        </w:rPr>
        <w:t>Ai Colleghi Magistrati Togati</w:t>
      </w:r>
    </w:p>
    <w:p w14:paraId="70A408CB" w14:textId="24D11C9C" w:rsidR="00DA3A01" w:rsidRPr="008019BD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i/>
          <w:sz w:val="28"/>
          <w:szCs w:val="28"/>
        </w:rPr>
      </w:pPr>
      <w:r w:rsidRPr="008019BD">
        <w:rPr>
          <w:rFonts w:ascii="Times New Roman" w:hAnsi="Times New Roman"/>
          <w:i/>
          <w:sz w:val="28"/>
          <w:szCs w:val="28"/>
        </w:rPr>
        <w:tab/>
      </w:r>
      <w:r w:rsidRPr="008019BD">
        <w:rPr>
          <w:rFonts w:ascii="Times New Roman" w:hAnsi="Times New Roman"/>
          <w:i/>
          <w:sz w:val="28"/>
          <w:szCs w:val="28"/>
        </w:rPr>
        <w:tab/>
        <w:t xml:space="preserve">     Al Dirigente Cancelleria Sezione </w:t>
      </w:r>
      <w:proofErr w:type="gramStart"/>
      <w:r w:rsidRPr="008019BD">
        <w:rPr>
          <w:rFonts w:ascii="Times New Roman" w:hAnsi="Times New Roman"/>
          <w:i/>
          <w:sz w:val="28"/>
          <w:szCs w:val="28"/>
        </w:rPr>
        <w:t xml:space="preserve">VII  </w:t>
      </w:r>
      <w:r w:rsidRPr="008019BD">
        <w:rPr>
          <w:rFonts w:ascii="Times New Roman" w:hAnsi="Times New Roman"/>
          <w:i/>
          <w:sz w:val="28"/>
          <w:szCs w:val="28"/>
        </w:rPr>
        <w:t>Fallimenti</w:t>
      </w:r>
      <w:proofErr w:type="gramEnd"/>
    </w:p>
    <w:p w14:paraId="3D1566A4" w14:textId="77777777" w:rsidR="008019BD" w:rsidRDefault="008019BD" w:rsidP="008019BD">
      <w:pPr>
        <w:spacing w:after="0" w:line="240" w:lineRule="auto"/>
        <w:ind w:right="474"/>
        <w:jc w:val="right"/>
        <w:rPr>
          <w:rFonts w:ascii="Times New Roman" w:hAnsi="Times New Roman"/>
          <w:sz w:val="28"/>
          <w:szCs w:val="28"/>
        </w:rPr>
      </w:pPr>
    </w:p>
    <w:p w14:paraId="5FF25020" w14:textId="77777777" w:rsidR="00DA3A01" w:rsidRPr="0066624F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sz w:val="28"/>
          <w:szCs w:val="28"/>
        </w:rPr>
      </w:pPr>
    </w:p>
    <w:p w14:paraId="6DF8C98B" w14:textId="55C1BD12" w:rsidR="00DA3A01" w:rsidRDefault="00DA3A01" w:rsidP="008019BD">
      <w:pPr>
        <w:spacing w:line="240" w:lineRule="auto"/>
        <w:ind w:right="474"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/>
          <w:b/>
          <w:sz w:val="36"/>
          <w:szCs w:val="36"/>
          <w:u w:val="single"/>
        </w:rPr>
        <w:t>1/</w:t>
      </w:r>
      <w:r>
        <w:rPr>
          <w:rFonts w:ascii="Times New Roman" w:hAnsi="Times New Roman"/>
          <w:b/>
          <w:sz w:val="36"/>
          <w:szCs w:val="36"/>
          <w:u w:val="single"/>
        </w:rPr>
        <w:t>202</w:t>
      </w:r>
      <w:r>
        <w:rPr>
          <w:rFonts w:ascii="Times New Roman" w:hAnsi="Times New Roman"/>
          <w:b/>
          <w:sz w:val="36"/>
          <w:szCs w:val="36"/>
          <w:u w:val="single"/>
        </w:rPr>
        <w:t>2</w:t>
      </w:r>
    </w:p>
    <w:p w14:paraId="047F35FB" w14:textId="1F469AE1" w:rsidR="00DA3A01" w:rsidRPr="00DA3A01" w:rsidRDefault="00DA3A01" w:rsidP="008019BD">
      <w:pPr>
        <w:spacing w:line="240" w:lineRule="auto"/>
        <w:ind w:right="474" w:firstLine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A3A01">
        <w:rPr>
          <w:rFonts w:ascii="Times New Roman" w:hAnsi="Times New Roman"/>
          <w:b/>
          <w:i/>
          <w:sz w:val="32"/>
          <w:szCs w:val="32"/>
          <w:u w:val="single"/>
        </w:rPr>
        <w:t>INDICAZIONI OPERATIVE per le VENDITE IMMOBILIARI</w:t>
      </w:r>
    </w:p>
    <w:p w14:paraId="27628CF6" w14:textId="3D0DB47A" w:rsidR="00BD7914" w:rsidRDefault="00BD7914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</w:p>
    <w:p w14:paraId="1B13A073" w14:textId="605C1CB5" w:rsidR="00595C3C" w:rsidRPr="005411B1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5411B1">
        <w:rPr>
          <w:rFonts w:ascii="Times New Roman" w:hAnsi="Times New Roman"/>
          <w:sz w:val="28"/>
          <w:szCs w:val="28"/>
        </w:rPr>
        <w:t xml:space="preserve">La </w:t>
      </w:r>
      <w:r w:rsidR="005411B1" w:rsidRPr="005411B1">
        <w:rPr>
          <w:rFonts w:ascii="Times New Roman" w:hAnsi="Times New Roman"/>
          <w:sz w:val="28"/>
          <w:szCs w:val="28"/>
        </w:rPr>
        <w:t>7ª Sezione civile ha rilevato, i</w:t>
      </w:r>
      <w:r w:rsidRPr="005411B1">
        <w:rPr>
          <w:rFonts w:ascii="Times New Roman" w:hAnsi="Times New Roman"/>
          <w:sz w:val="28"/>
          <w:szCs w:val="28"/>
        </w:rPr>
        <w:t>n sede di emissione dei decreti di trasferimento relativ</w:t>
      </w:r>
      <w:r w:rsidR="008B496C">
        <w:rPr>
          <w:rFonts w:ascii="Times New Roman" w:hAnsi="Times New Roman"/>
          <w:sz w:val="28"/>
          <w:szCs w:val="28"/>
        </w:rPr>
        <w:t>i</w:t>
      </w:r>
      <w:r w:rsidRPr="005411B1">
        <w:rPr>
          <w:rFonts w:ascii="Times New Roman" w:hAnsi="Times New Roman"/>
          <w:sz w:val="28"/>
          <w:szCs w:val="28"/>
        </w:rPr>
        <w:t xml:space="preserve"> </w:t>
      </w:r>
      <w:r w:rsidR="005411B1" w:rsidRPr="005411B1">
        <w:rPr>
          <w:rFonts w:ascii="Times New Roman" w:hAnsi="Times New Roman"/>
          <w:sz w:val="28"/>
          <w:szCs w:val="28"/>
        </w:rPr>
        <w:t xml:space="preserve">alle </w:t>
      </w:r>
      <w:r w:rsidRPr="005411B1">
        <w:rPr>
          <w:rFonts w:ascii="Times New Roman" w:hAnsi="Times New Roman"/>
          <w:sz w:val="28"/>
          <w:szCs w:val="28"/>
        </w:rPr>
        <w:t xml:space="preserve">vendite </w:t>
      </w:r>
      <w:r w:rsidR="00AA7D30">
        <w:rPr>
          <w:rFonts w:ascii="Times New Roman" w:hAnsi="Times New Roman"/>
          <w:sz w:val="28"/>
          <w:szCs w:val="28"/>
        </w:rPr>
        <w:t xml:space="preserve">immobiliari gestite </w:t>
      </w:r>
      <w:r w:rsidRPr="005411B1">
        <w:rPr>
          <w:rFonts w:ascii="Times New Roman" w:hAnsi="Times New Roman"/>
          <w:sz w:val="28"/>
          <w:szCs w:val="28"/>
        </w:rPr>
        <w:t>dalle procedure fallimentari</w:t>
      </w:r>
      <w:r w:rsidR="008B496C">
        <w:rPr>
          <w:rFonts w:ascii="Times New Roman" w:hAnsi="Times New Roman"/>
          <w:sz w:val="28"/>
          <w:szCs w:val="28"/>
        </w:rPr>
        <w:t>,</w:t>
      </w:r>
      <w:r w:rsidRPr="005411B1">
        <w:rPr>
          <w:rFonts w:ascii="Times New Roman" w:hAnsi="Times New Roman"/>
          <w:sz w:val="28"/>
          <w:szCs w:val="28"/>
        </w:rPr>
        <w:t xml:space="preserve"> o di emanazione del provvedimento ex art</w:t>
      </w:r>
      <w:r w:rsidR="005411B1" w:rsidRPr="005411B1">
        <w:rPr>
          <w:rFonts w:ascii="Times New Roman" w:hAnsi="Times New Roman"/>
          <w:sz w:val="28"/>
          <w:szCs w:val="28"/>
        </w:rPr>
        <w:t>.</w:t>
      </w:r>
      <w:r w:rsidRPr="005411B1">
        <w:rPr>
          <w:rFonts w:ascii="Times New Roman" w:hAnsi="Times New Roman"/>
          <w:sz w:val="28"/>
          <w:szCs w:val="28"/>
        </w:rPr>
        <w:t xml:space="preserve"> 108 </w:t>
      </w:r>
      <w:r w:rsidR="008B496C">
        <w:rPr>
          <w:rFonts w:ascii="Times New Roman" w:hAnsi="Times New Roman"/>
          <w:sz w:val="28"/>
          <w:szCs w:val="28"/>
        </w:rPr>
        <w:t>L.F.</w:t>
      </w:r>
      <w:r w:rsidRPr="005411B1">
        <w:rPr>
          <w:rFonts w:ascii="Times New Roman" w:hAnsi="Times New Roman"/>
          <w:sz w:val="28"/>
          <w:szCs w:val="28"/>
        </w:rPr>
        <w:t xml:space="preserve">, </w:t>
      </w:r>
      <w:r w:rsidR="00086A61">
        <w:rPr>
          <w:rFonts w:ascii="Times New Roman" w:hAnsi="Times New Roman"/>
          <w:sz w:val="28"/>
          <w:szCs w:val="28"/>
        </w:rPr>
        <w:t xml:space="preserve">diversi </w:t>
      </w:r>
      <w:r w:rsidRPr="005411B1">
        <w:rPr>
          <w:rFonts w:ascii="Times New Roman" w:hAnsi="Times New Roman"/>
          <w:sz w:val="28"/>
          <w:szCs w:val="28"/>
        </w:rPr>
        <w:t>casi di errore nel</w:t>
      </w:r>
      <w:r w:rsidR="008B496C">
        <w:rPr>
          <w:rFonts w:ascii="Times New Roman" w:hAnsi="Times New Roman"/>
          <w:sz w:val="28"/>
          <w:szCs w:val="28"/>
        </w:rPr>
        <w:t>l’</w:t>
      </w:r>
      <w:r w:rsidRPr="005411B1">
        <w:rPr>
          <w:rFonts w:ascii="Times New Roman" w:hAnsi="Times New Roman"/>
          <w:sz w:val="28"/>
          <w:szCs w:val="28"/>
        </w:rPr>
        <w:t>indicazione delle trascrizioni</w:t>
      </w:r>
      <w:r w:rsidR="00DE2C03">
        <w:rPr>
          <w:rFonts w:ascii="Times New Roman" w:hAnsi="Times New Roman"/>
          <w:sz w:val="28"/>
          <w:szCs w:val="28"/>
        </w:rPr>
        <w:t>/iscrizioni</w:t>
      </w:r>
      <w:r w:rsidRPr="005411B1">
        <w:rPr>
          <w:rFonts w:ascii="Times New Roman" w:hAnsi="Times New Roman"/>
          <w:sz w:val="28"/>
          <w:szCs w:val="28"/>
        </w:rPr>
        <w:t xml:space="preserve"> da cancellare</w:t>
      </w:r>
      <w:r w:rsidR="0094007C">
        <w:rPr>
          <w:rFonts w:ascii="Times New Roman" w:hAnsi="Times New Roman"/>
          <w:sz w:val="28"/>
          <w:szCs w:val="28"/>
        </w:rPr>
        <w:t xml:space="preserve"> – quando non la totale incommerciabilità del bene -</w:t>
      </w:r>
      <w:r w:rsidRPr="005411B1">
        <w:rPr>
          <w:rFonts w:ascii="Times New Roman" w:hAnsi="Times New Roman"/>
          <w:sz w:val="28"/>
          <w:szCs w:val="28"/>
        </w:rPr>
        <w:t xml:space="preserve"> evidentemente frutto di </w:t>
      </w:r>
      <w:r w:rsidR="008B496C">
        <w:rPr>
          <w:rFonts w:ascii="Times New Roman" w:hAnsi="Times New Roman"/>
          <w:sz w:val="28"/>
          <w:szCs w:val="28"/>
        </w:rPr>
        <w:t>un</w:t>
      </w:r>
      <w:r w:rsidRPr="005411B1">
        <w:rPr>
          <w:rFonts w:ascii="Times New Roman" w:hAnsi="Times New Roman"/>
          <w:sz w:val="28"/>
          <w:szCs w:val="28"/>
        </w:rPr>
        <w:t xml:space="preserve"> non adeguato approfondimento </w:t>
      </w:r>
      <w:r w:rsidR="00DE2C03">
        <w:rPr>
          <w:rFonts w:ascii="Times New Roman" w:hAnsi="Times New Roman"/>
          <w:sz w:val="28"/>
          <w:szCs w:val="28"/>
        </w:rPr>
        <w:t xml:space="preserve">a monte </w:t>
      </w:r>
      <w:r w:rsidRPr="005411B1">
        <w:rPr>
          <w:rFonts w:ascii="Times New Roman" w:hAnsi="Times New Roman"/>
          <w:sz w:val="28"/>
          <w:szCs w:val="28"/>
        </w:rPr>
        <w:t>delle risultanze desumibili dai registri immobiliari</w:t>
      </w:r>
      <w:r w:rsidR="0094007C">
        <w:rPr>
          <w:rFonts w:ascii="Times New Roman" w:hAnsi="Times New Roman"/>
          <w:sz w:val="28"/>
          <w:szCs w:val="28"/>
        </w:rPr>
        <w:t xml:space="preserve"> e dagli atti di acquisto della proprietà</w:t>
      </w:r>
      <w:r w:rsidRPr="005411B1">
        <w:rPr>
          <w:rFonts w:ascii="Times New Roman" w:hAnsi="Times New Roman"/>
          <w:sz w:val="28"/>
          <w:szCs w:val="28"/>
        </w:rPr>
        <w:t>.</w:t>
      </w:r>
      <w:r w:rsidR="00DE2C03">
        <w:rPr>
          <w:rFonts w:ascii="Times New Roman" w:hAnsi="Times New Roman"/>
          <w:sz w:val="28"/>
          <w:szCs w:val="28"/>
        </w:rPr>
        <w:t xml:space="preserve"> </w:t>
      </w:r>
      <w:r w:rsidRPr="005411B1">
        <w:rPr>
          <w:rFonts w:ascii="Times New Roman" w:hAnsi="Times New Roman"/>
          <w:sz w:val="28"/>
          <w:szCs w:val="28"/>
        </w:rPr>
        <w:t xml:space="preserve">Ciò ha comportato la necessità di ripetuti chiarimenti e integrazioni richieste ai curatori fallimentari, con </w:t>
      </w:r>
      <w:r w:rsidR="008B496C">
        <w:rPr>
          <w:rFonts w:ascii="Times New Roman" w:hAnsi="Times New Roman"/>
          <w:sz w:val="28"/>
          <w:szCs w:val="28"/>
        </w:rPr>
        <w:t>un</w:t>
      </w:r>
      <w:r w:rsidRPr="005411B1">
        <w:rPr>
          <w:rFonts w:ascii="Times New Roman" w:hAnsi="Times New Roman"/>
          <w:sz w:val="28"/>
          <w:szCs w:val="28"/>
        </w:rPr>
        <w:t xml:space="preserve"> chiaro rallentamento dei tempi procedimentali a scapito degli aggiudicatari.</w:t>
      </w:r>
    </w:p>
    <w:p w14:paraId="5AFF1792" w14:textId="32201F63" w:rsidR="00595C3C" w:rsidRPr="005411B1" w:rsidRDefault="00DE2C03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595C3C" w:rsidRPr="005411B1">
        <w:rPr>
          <w:rFonts w:ascii="Times New Roman" w:hAnsi="Times New Roman"/>
          <w:sz w:val="28"/>
          <w:szCs w:val="28"/>
        </w:rPr>
        <w:t xml:space="preserve">ali </w:t>
      </w:r>
      <w:r w:rsidR="00AA7D30">
        <w:rPr>
          <w:rFonts w:ascii="Times New Roman" w:hAnsi="Times New Roman"/>
          <w:sz w:val="28"/>
          <w:szCs w:val="28"/>
        </w:rPr>
        <w:t>inconvenienti</w:t>
      </w:r>
      <w:r w:rsidR="00595C3C" w:rsidRPr="005411B1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ono</w:t>
      </w:r>
      <w:r w:rsidR="00595C3C" w:rsidRPr="005411B1">
        <w:rPr>
          <w:rFonts w:ascii="Times New Roman" w:hAnsi="Times New Roman"/>
          <w:sz w:val="28"/>
          <w:szCs w:val="28"/>
        </w:rPr>
        <w:t xml:space="preserve"> collegati all</w:t>
      </w:r>
      <w:r w:rsidR="008B496C">
        <w:rPr>
          <w:rFonts w:ascii="Times New Roman" w:hAnsi="Times New Roman"/>
          <w:sz w:val="28"/>
          <w:szCs w:val="28"/>
        </w:rPr>
        <w:t>’</w:t>
      </w:r>
      <w:r w:rsidR="00595C3C" w:rsidRPr="005411B1">
        <w:rPr>
          <w:rFonts w:ascii="Times New Roman" w:hAnsi="Times New Roman"/>
          <w:sz w:val="28"/>
          <w:szCs w:val="28"/>
        </w:rPr>
        <w:t>inadeguatezza de</w:t>
      </w:r>
      <w:r>
        <w:rPr>
          <w:rFonts w:ascii="Times New Roman" w:hAnsi="Times New Roman"/>
          <w:sz w:val="28"/>
          <w:szCs w:val="28"/>
        </w:rPr>
        <w:t xml:space="preserve">lle verifiche precedenti la vendita sull’esatta titolarità dei beni, che dipende in primo luogo dalla </w:t>
      </w:r>
      <w:r w:rsidR="0094007C">
        <w:rPr>
          <w:rFonts w:ascii="Times New Roman" w:hAnsi="Times New Roman"/>
          <w:sz w:val="28"/>
          <w:szCs w:val="28"/>
        </w:rPr>
        <w:t xml:space="preserve">frequente </w:t>
      </w:r>
      <w:r>
        <w:rPr>
          <w:rFonts w:ascii="Times New Roman" w:hAnsi="Times New Roman"/>
          <w:sz w:val="28"/>
          <w:szCs w:val="28"/>
        </w:rPr>
        <w:t xml:space="preserve">lacunosità dei </w:t>
      </w:r>
      <w:r w:rsidR="00595C3C" w:rsidRPr="005411B1">
        <w:rPr>
          <w:rFonts w:ascii="Times New Roman" w:hAnsi="Times New Roman"/>
          <w:sz w:val="28"/>
          <w:szCs w:val="28"/>
        </w:rPr>
        <w:t>quesiti estimatori conferiti dalle procedure ai professionisti incaricati, cui può porsi rimedio mediante l</w:t>
      </w:r>
      <w:r w:rsidR="008B496C">
        <w:rPr>
          <w:rFonts w:ascii="Times New Roman" w:hAnsi="Times New Roman"/>
          <w:sz w:val="28"/>
          <w:szCs w:val="28"/>
        </w:rPr>
        <w:t>’</w:t>
      </w:r>
      <w:r w:rsidR="00595C3C" w:rsidRPr="005411B1">
        <w:rPr>
          <w:rFonts w:ascii="Times New Roman" w:hAnsi="Times New Roman"/>
          <w:sz w:val="28"/>
          <w:szCs w:val="28"/>
        </w:rPr>
        <w:t xml:space="preserve">affidamento di </w:t>
      </w:r>
      <w:r w:rsidR="005411B1" w:rsidRPr="005411B1">
        <w:rPr>
          <w:rFonts w:ascii="Times New Roman" w:hAnsi="Times New Roman"/>
          <w:sz w:val="28"/>
          <w:szCs w:val="28"/>
        </w:rPr>
        <w:t>un’</w:t>
      </w:r>
      <w:r w:rsidR="00595C3C" w:rsidRPr="005411B1">
        <w:rPr>
          <w:rFonts w:ascii="Times New Roman" w:hAnsi="Times New Roman"/>
          <w:sz w:val="28"/>
          <w:szCs w:val="28"/>
        </w:rPr>
        <w:t xml:space="preserve">indagine </w:t>
      </w:r>
      <w:r w:rsidR="005411B1" w:rsidRPr="005411B1">
        <w:rPr>
          <w:rFonts w:ascii="Times New Roman" w:hAnsi="Times New Roman"/>
          <w:sz w:val="28"/>
          <w:szCs w:val="28"/>
        </w:rPr>
        <w:t xml:space="preserve">tecnica </w:t>
      </w:r>
      <w:r w:rsidR="00595C3C" w:rsidRPr="005411B1">
        <w:rPr>
          <w:rFonts w:ascii="Times New Roman" w:hAnsi="Times New Roman"/>
          <w:sz w:val="28"/>
          <w:szCs w:val="28"/>
        </w:rPr>
        <w:t>più articolata che copr</w:t>
      </w:r>
      <w:r w:rsidR="005411B1" w:rsidRPr="005411B1">
        <w:rPr>
          <w:rFonts w:ascii="Times New Roman" w:hAnsi="Times New Roman"/>
          <w:sz w:val="28"/>
          <w:szCs w:val="28"/>
        </w:rPr>
        <w:t>a</w:t>
      </w:r>
      <w:r w:rsidR="00595C3C" w:rsidRPr="005411B1">
        <w:rPr>
          <w:rFonts w:ascii="Times New Roman" w:hAnsi="Times New Roman"/>
          <w:sz w:val="28"/>
          <w:szCs w:val="28"/>
        </w:rPr>
        <w:t xml:space="preserve"> tutti profili rilevanti per il trasferimento forzoso, in termini esattamente sovrapponibili agli accertamenti che vengono condotti nella parallela sede espropriativ</w:t>
      </w:r>
      <w:r w:rsidR="008B496C">
        <w:rPr>
          <w:rFonts w:ascii="Times New Roman" w:hAnsi="Times New Roman"/>
          <w:sz w:val="28"/>
          <w:szCs w:val="28"/>
        </w:rPr>
        <w:t xml:space="preserve">a </w:t>
      </w:r>
      <w:r w:rsidR="005411B1" w:rsidRPr="005411B1">
        <w:rPr>
          <w:rFonts w:ascii="Times New Roman" w:hAnsi="Times New Roman"/>
          <w:sz w:val="28"/>
          <w:szCs w:val="28"/>
        </w:rPr>
        <w:t>individuale, dove da tempo la S</w:t>
      </w:r>
      <w:r w:rsidR="00595C3C" w:rsidRPr="005411B1">
        <w:rPr>
          <w:rFonts w:ascii="Times New Roman" w:hAnsi="Times New Roman"/>
          <w:sz w:val="28"/>
          <w:szCs w:val="28"/>
        </w:rPr>
        <w:t xml:space="preserve">ezione ha messo a punto </w:t>
      </w:r>
      <w:r w:rsidR="008B496C">
        <w:rPr>
          <w:rFonts w:ascii="Times New Roman" w:hAnsi="Times New Roman"/>
          <w:sz w:val="28"/>
          <w:szCs w:val="28"/>
        </w:rPr>
        <w:t>un</w:t>
      </w:r>
      <w:r w:rsidR="00595C3C" w:rsidRPr="005411B1">
        <w:rPr>
          <w:rFonts w:ascii="Times New Roman" w:hAnsi="Times New Roman"/>
          <w:sz w:val="28"/>
          <w:szCs w:val="28"/>
        </w:rPr>
        <w:t xml:space="preserve"> quesito tipo</w:t>
      </w:r>
      <w:r w:rsidR="005411B1" w:rsidRPr="005411B1">
        <w:rPr>
          <w:rFonts w:ascii="Times New Roman" w:hAnsi="Times New Roman"/>
          <w:sz w:val="28"/>
          <w:szCs w:val="28"/>
        </w:rPr>
        <w:t xml:space="preserve"> </w:t>
      </w:r>
      <w:r w:rsidR="008B496C">
        <w:rPr>
          <w:rFonts w:ascii="Times New Roman" w:hAnsi="Times New Roman"/>
          <w:sz w:val="28"/>
          <w:szCs w:val="28"/>
        </w:rPr>
        <w:t>–</w:t>
      </w:r>
      <w:r w:rsidR="005411B1" w:rsidRPr="005411B1">
        <w:rPr>
          <w:rFonts w:ascii="Times New Roman" w:hAnsi="Times New Roman"/>
          <w:sz w:val="28"/>
          <w:szCs w:val="28"/>
        </w:rPr>
        <w:t xml:space="preserve"> </w:t>
      </w:r>
      <w:r w:rsidR="00595C3C" w:rsidRPr="00AA7D30">
        <w:rPr>
          <w:rFonts w:ascii="Times New Roman" w:hAnsi="Times New Roman"/>
          <w:i/>
          <w:sz w:val="28"/>
          <w:szCs w:val="28"/>
        </w:rPr>
        <w:t xml:space="preserve">con provvedimento del </w:t>
      </w:r>
      <w:r w:rsidR="005411B1" w:rsidRPr="00AA7D30">
        <w:rPr>
          <w:rFonts w:ascii="Times New Roman" w:hAnsi="Times New Roman"/>
          <w:i/>
          <w:sz w:val="28"/>
          <w:szCs w:val="28"/>
        </w:rPr>
        <w:t>24</w:t>
      </w:r>
      <w:r w:rsidR="00595C3C" w:rsidRPr="00AA7D30">
        <w:rPr>
          <w:rFonts w:ascii="Times New Roman" w:hAnsi="Times New Roman"/>
          <w:i/>
          <w:sz w:val="28"/>
          <w:szCs w:val="28"/>
        </w:rPr>
        <w:t xml:space="preserve"> gennaio 2019</w:t>
      </w:r>
      <w:r w:rsidR="005411B1" w:rsidRPr="00AA7D30">
        <w:rPr>
          <w:rFonts w:ascii="Times New Roman" w:hAnsi="Times New Roman"/>
          <w:i/>
          <w:sz w:val="28"/>
          <w:szCs w:val="28"/>
        </w:rPr>
        <w:t>, disponibile sul sito del Tribunale</w:t>
      </w:r>
      <w:r w:rsidR="005411B1" w:rsidRPr="005411B1">
        <w:rPr>
          <w:rFonts w:ascii="Times New Roman" w:hAnsi="Times New Roman"/>
          <w:sz w:val="28"/>
          <w:szCs w:val="28"/>
        </w:rPr>
        <w:t xml:space="preserve"> </w:t>
      </w:r>
      <w:r w:rsidR="008B496C">
        <w:rPr>
          <w:rFonts w:ascii="Times New Roman" w:hAnsi="Times New Roman"/>
          <w:sz w:val="28"/>
          <w:szCs w:val="28"/>
        </w:rPr>
        <w:t>–</w:t>
      </w:r>
      <w:r w:rsidR="005411B1" w:rsidRPr="005411B1">
        <w:rPr>
          <w:rFonts w:ascii="Times New Roman" w:hAnsi="Times New Roman"/>
          <w:sz w:val="28"/>
          <w:szCs w:val="28"/>
        </w:rPr>
        <w:t xml:space="preserve"> </w:t>
      </w:r>
      <w:r w:rsidR="00595C3C" w:rsidRPr="005411B1">
        <w:rPr>
          <w:rFonts w:ascii="Times New Roman" w:hAnsi="Times New Roman"/>
          <w:sz w:val="28"/>
          <w:szCs w:val="28"/>
        </w:rPr>
        <w:t>che si è rivelato decisivo per la semplificazione delle operazioni estimatori</w:t>
      </w:r>
      <w:r w:rsidR="008B496C">
        <w:rPr>
          <w:rFonts w:ascii="Times New Roman" w:hAnsi="Times New Roman"/>
          <w:sz w:val="28"/>
          <w:szCs w:val="28"/>
        </w:rPr>
        <w:t xml:space="preserve">e </w:t>
      </w:r>
      <w:r w:rsidR="00086A61">
        <w:rPr>
          <w:rFonts w:ascii="Times New Roman" w:hAnsi="Times New Roman"/>
          <w:sz w:val="28"/>
          <w:szCs w:val="28"/>
        </w:rPr>
        <w:t xml:space="preserve">e delle verifiche giudiziali; quesito-tipo, </w:t>
      </w:r>
      <w:r w:rsidR="00F30C10">
        <w:rPr>
          <w:rFonts w:ascii="Times New Roman" w:hAnsi="Times New Roman"/>
          <w:sz w:val="28"/>
          <w:szCs w:val="28"/>
        </w:rPr>
        <w:t xml:space="preserve"> ormai ben metabolizzato dalla platea dei professionisti (architetti, geometri, ingegneri) </w:t>
      </w:r>
      <w:r w:rsidR="0094007C">
        <w:rPr>
          <w:rFonts w:ascii="Times New Roman" w:hAnsi="Times New Roman"/>
          <w:sz w:val="28"/>
          <w:szCs w:val="28"/>
        </w:rPr>
        <w:t>incaricati delle stime e</w:t>
      </w:r>
      <w:r w:rsidR="00F30C10">
        <w:rPr>
          <w:rFonts w:ascii="Times New Roman" w:hAnsi="Times New Roman"/>
          <w:sz w:val="28"/>
          <w:szCs w:val="28"/>
        </w:rPr>
        <w:t xml:space="preserve"> ben noto ai molti curatori che operano anche come delegati alle vendite.</w:t>
      </w:r>
    </w:p>
    <w:p w14:paraId="4EE7E55A" w14:textId="5402EA5A" w:rsidR="00DE2C03" w:rsidRDefault="00DE2C03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 secondo passaggio critico constatato dalla Sezione riguarda gli accordi economici </w:t>
      </w:r>
      <w:r>
        <w:rPr>
          <w:rFonts w:ascii="Times New Roman" w:hAnsi="Times New Roman"/>
          <w:sz w:val="28"/>
          <w:szCs w:val="28"/>
        </w:rPr>
        <w:lastRenderedPageBreak/>
        <w:t xml:space="preserve">stipulati con i professionisti incaricati, che non sempre risultano adeguatamente formalizzati e improntati al principio di economicità delle procedure, con il risultato contraddittorio di remunerare di più – in sede fallimentare – elaborati contenutisticamente </w:t>
      </w:r>
      <w:r w:rsidR="00086A61">
        <w:rPr>
          <w:rFonts w:ascii="Times New Roman" w:hAnsi="Times New Roman"/>
          <w:sz w:val="28"/>
          <w:szCs w:val="28"/>
        </w:rPr>
        <w:t xml:space="preserve">molto </w:t>
      </w:r>
      <w:r>
        <w:rPr>
          <w:rFonts w:ascii="Times New Roman" w:hAnsi="Times New Roman"/>
          <w:sz w:val="28"/>
          <w:szCs w:val="28"/>
        </w:rPr>
        <w:t xml:space="preserve">più poveri del </w:t>
      </w:r>
      <w:r w:rsidR="0094007C">
        <w:rPr>
          <w:rFonts w:ascii="Times New Roman" w:hAnsi="Times New Roman"/>
          <w:sz w:val="28"/>
          <w:szCs w:val="28"/>
        </w:rPr>
        <w:t xml:space="preserve">prezioso </w:t>
      </w:r>
      <w:r>
        <w:rPr>
          <w:rFonts w:ascii="Times New Roman" w:hAnsi="Times New Roman"/>
          <w:sz w:val="28"/>
          <w:szCs w:val="28"/>
        </w:rPr>
        <w:t>quadro informativo che si ottiene nelle espropriazioni individuali.</w:t>
      </w:r>
    </w:p>
    <w:p w14:paraId="1ADD611D" w14:textId="1558A260" w:rsidR="00D22A4D" w:rsidRDefault="00DE2C03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595C3C" w:rsidRPr="005411B1">
        <w:rPr>
          <w:rFonts w:ascii="Times New Roman" w:hAnsi="Times New Roman"/>
          <w:sz w:val="28"/>
          <w:szCs w:val="28"/>
        </w:rPr>
        <w:t xml:space="preserve">i ritiene </w:t>
      </w:r>
      <w:r w:rsidR="00D22A4D">
        <w:rPr>
          <w:rFonts w:ascii="Times New Roman" w:hAnsi="Times New Roman"/>
          <w:sz w:val="28"/>
          <w:szCs w:val="28"/>
        </w:rPr>
        <w:t xml:space="preserve">perciò </w:t>
      </w:r>
      <w:r w:rsidR="00595C3C" w:rsidRPr="005411B1">
        <w:rPr>
          <w:rFonts w:ascii="Times New Roman" w:hAnsi="Times New Roman"/>
          <w:sz w:val="28"/>
          <w:szCs w:val="28"/>
        </w:rPr>
        <w:t xml:space="preserve">necessario impartire </w:t>
      </w:r>
      <w:r w:rsidR="005411B1" w:rsidRPr="005411B1">
        <w:rPr>
          <w:rFonts w:ascii="Times New Roman" w:hAnsi="Times New Roman"/>
          <w:sz w:val="28"/>
          <w:szCs w:val="28"/>
        </w:rPr>
        <w:t xml:space="preserve">una </w:t>
      </w:r>
      <w:r w:rsidR="00595C3C" w:rsidRPr="005411B1">
        <w:rPr>
          <w:rFonts w:ascii="Times New Roman" w:hAnsi="Times New Roman"/>
          <w:sz w:val="28"/>
          <w:szCs w:val="28"/>
        </w:rPr>
        <w:t xml:space="preserve">direttiva </w:t>
      </w:r>
      <w:r w:rsidR="005411B1" w:rsidRPr="005411B1">
        <w:rPr>
          <w:rFonts w:ascii="Times New Roman" w:hAnsi="Times New Roman"/>
          <w:sz w:val="28"/>
          <w:szCs w:val="28"/>
        </w:rPr>
        <w:t xml:space="preserve">specifica </w:t>
      </w:r>
      <w:r w:rsidR="00595C3C" w:rsidRPr="005411B1">
        <w:rPr>
          <w:rFonts w:ascii="Times New Roman" w:hAnsi="Times New Roman"/>
          <w:sz w:val="28"/>
          <w:szCs w:val="28"/>
        </w:rPr>
        <w:t>ai curatori fallimentari affinché, in relazione alle necessità di stima immobiliar</w:t>
      </w:r>
      <w:r w:rsidR="005411B1" w:rsidRPr="005411B1">
        <w:rPr>
          <w:rFonts w:ascii="Times New Roman" w:hAnsi="Times New Roman"/>
          <w:sz w:val="28"/>
          <w:szCs w:val="28"/>
        </w:rPr>
        <w:t>e</w:t>
      </w:r>
      <w:r w:rsidR="00595C3C" w:rsidRPr="005411B1">
        <w:rPr>
          <w:rFonts w:ascii="Times New Roman" w:hAnsi="Times New Roman"/>
          <w:sz w:val="28"/>
          <w:szCs w:val="28"/>
        </w:rPr>
        <w:t xml:space="preserve"> che precedono la vendita dei compendi delle procedure, si </w:t>
      </w:r>
      <w:r w:rsidR="005411B1" w:rsidRPr="005411B1">
        <w:rPr>
          <w:rFonts w:ascii="Times New Roman" w:hAnsi="Times New Roman"/>
          <w:sz w:val="28"/>
          <w:szCs w:val="28"/>
        </w:rPr>
        <w:t>acquisis</w:t>
      </w:r>
      <w:r w:rsidR="00595C3C" w:rsidRPr="005411B1">
        <w:rPr>
          <w:rFonts w:ascii="Times New Roman" w:hAnsi="Times New Roman"/>
          <w:sz w:val="28"/>
          <w:szCs w:val="28"/>
        </w:rPr>
        <w:t xml:space="preserve">cano elaborati di adeguato livello </w:t>
      </w:r>
      <w:r w:rsidR="00AA7D30">
        <w:rPr>
          <w:rFonts w:ascii="Times New Roman" w:hAnsi="Times New Roman"/>
          <w:sz w:val="28"/>
          <w:szCs w:val="28"/>
        </w:rPr>
        <w:t xml:space="preserve">informativo </w:t>
      </w:r>
      <w:r w:rsidR="00595C3C" w:rsidRPr="005411B1">
        <w:rPr>
          <w:rFonts w:ascii="Times New Roman" w:hAnsi="Times New Roman"/>
          <w:sz w:val="28"/>
          <w:szCs w:val="28"/>
        </w:rPr>
        <w:t>in grado di evitare gli inconvenienti fin qui emersi</w:t>
      </w:r>
      <w:r>
        <w:rPr>
          <w:rFonts w:ascii="Times New Roman" w:hAnsi="Times New Roman"/>
          <w:sz w:val="28"/>
          <w:szCs w:val="28"/>
        </w:rPr>
        <w:t>; siano eseguiti i controlli preventivi, di competenza dei curatori</w:t>
      </w:r>
      <w:r w:rsidR="0094007C">
        <w:rPr>
          <w:rFonts w:ascii="Times New Roman" w:hAnsi="Times New Roman"/>
          <w:sz w:val="28"/>
          <w:szCs w:val="28"/>
        </w:rPr>
        <w:t>,</w:t>
      </w:r>
      <w:r w:rsidR="0094007C" w:rsidRPr="0094007C">
        <w:rPr>
          <w:rFonts w:ascii="Times New Roman" w:hAnsi="Times New Roman"/>
          <w:sz w:val="28"/>
          <w:szCs w:val="28"/>
        </w:rPr>
        <w:t xml:space="preserve"> </w:t>
      </w:r>
      <w:r w:rsidR="0094007C">
        <w:rPr>
          <w:rFonts w:ascii="Times New Roman" w:hAnsi="Times New Roman"/>
          <w:sz w:val="28"/>
          <w:szCs w:val="28"/>
        </w:rPr>
        <w:t>sulla titolarità dei cespiti immobiliari</w:t>
      </w:r>
      <w:r>
        <w:rPr>
          <w:rFonts w:ascii="Times New Roman" w:hAnsi="Times New Roman"/>
          <w:sz w:val="28"/>
          <w:szCs w:val="28"/>
        </w:rPr>
        <w:t xml:space="preserve">; siano meglio definite le procedure liquidatorie. </w:t>
      </w:r>
    </w:p>
    <w:p w14:paraId="63689C3D" w14:textId="0EE558B0" w:rsidR="00D22A4D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5411B1">
        <w:rPr>
          <w:rFonts w:ascii="Times New Roman" w:hAnsi="Times New Roman"/>
          <w:sz w:val="28"/>
          <w:szCs w:val="28"/>
        </w:rPr>
        <w:t xml:space="preserve">È necessario </w:t>
      </w:r>
      <w:r w:rsidR="0094007C">
        <w:rPr>
          <w:rFonts w:ascii="Times New Roman" w:hAnsi="Times New Roman"/>
          <w:sz w:val="28"/>
          <w:szCs w:val="28"/>
        </w:rPr>
        <w:t xml:space="preserve">in sostanza </w:t>
      </w:r>
      <w:r w:rsidRPr="005411B1">
        <w:rPr>
          <w:rFonts w:ascii="Times New Roman" w:hAnsi="Times New Roman"/>
          <w:sz w:val="28"/>
          <w:szCs w:val="28"/>
        </w:rPr>
        <w:t>che tutta l</w:t>
      </w:r>
      <w:r w:rsidR="008B496C">
        <w:rPr>
          <w:rFonts w:ascii="Times New Roman" w:hAnsi="Times New Roman"/>
          <w:sz w:val="28"/>
          <w:szCs w:val="28"/>
        </w:rPr>
        <w:t>’</w:t>
      </w:r>
      <w:r w:rsidRPr="005411B1">
        <w:rPr>
          <w:rFonts w:ascii="Times New Roman" w:hAnsi="Times New Roman"/>
          <w:sz w:val="28"/>
          <w:szCs w:val="28"/>
        </w:rPr>
        <w:t xml:space="preserve">attività che ruota intorno alle </w:t>
      </w:r>
      <w:r w:rsidR="005411B1" w:rsidRPr="005411B1">
        <w:rPr>
          <w:rFonts w:ascii="Times New Roman" w:hAnsi="Times New Roman"/>
          <w:sz w:val="28"/>
          <w:szCs w:val="28"/>
        </w:rPr>
        <w:t>vendite</w:t>
      </w:r>
      <w:r w:rsidRPr="005411B1">
        <w:rPr>
          <w:rFonts w:ascii="Times New Roman" w:hAnsi="Times New Roman"/>
          <w:sz w:val="28"/>
          <w:szCs w:val="28"/>
        </w:rPr>
        <w:t xml:space="preserve"> immobiliari sia oggetto di più precis</w:t>
      </w:r>
      <w:r w:rsidR="005411B1" w:rsidRPr="005411B1">
        <w:rPr>
          <w:rFonts w:ascii="Times New Roman" w:hAnsi="Times New Roman"/>
          <w:sz w:val="28"/>
          <w:szCs w:val="28"/>
        </w:rPr>
        <w:t>o</w:t>
      </w:r>
      <w:r w:rsidRPr="005411B1">
        <w:rPr>
          <w:rFonts w:ascii="Times New Roman" w:hAnsi="Times New Roman"/>
          <w:sz w:val="28"/>
          <w:szCs w:val="28"/>
        </w:rPr>
        <w:t xml:space="preserve"> monitoraggio da parte degli organi della procedura </w:t>
      </w:r>
      <w:r w:rsidR="00DE2C03">
        <w:rPr>
          <w:rFonts w:ascii="Times New Roman" w:hAnsi="Times New Roman"/>
          <w:sz w:val="28"/>
          <w:szCs w:val="28"/>
        </w:rPr>
        <w:t xml:space="preserve">in modo da pervenire alla fase conclusiva </w:t>
      </w:r>
      <w:r w:rsidR="00086A61">
        <w:rPr>
          <w:rFonts w:ascii="Times New Roman" w:hAnsi="Times New Roman"/>
          <w:sz w:val="28"/>
          <w:szCs w:val="28"/>
        </w:rPr>
        <w:t xml:space="preserve">del trasferimento proprietario post-aggiudicazione </w:t>
      </w:r>
      <w:r w:rsidR="00DE2C03">
        <w:rPr>
          <w:rFonts w:ascii="Times New Roman" w:hAnsi="Times New Roman"/>
          <w:sz w:val="28"/>
          <w:szCs w:val="28"/>
        </w:rPr>
        <w:t>senza spiacevoli sorprese sull’esattezza delle verifiche precedenti</w:t>
      </w:r>
      <w:r w:rsidR="00D22A4D">
        <w:rPr>
          <w:rFonts w:ascii="Times New Roman" w:hAnsi="Times New Roman"/>
          <w:sz w:val="28"/>
          <w:szCs w:val="28"/>
        </w:rPr>
        <w:t>.</w:t>
      </w:r>
    </w:p>
    <w:p w14:paraId="652E5186" w14:textId="5C81DC04" w:rsidR="00DE2C03" w:rsidRDefault="00DE2C03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Naturalmente, le disposizioni che seguono non incidono minimamente sul potere/dovere del singolo curatore di determinare </w:t>
      </w:r>
      <w:r w:rsidR="006C6BA0">
        <w:rPr>
          <w:rFonts w:ascii="Times New Roman" w:hAnsi="Times New Roman"/>
          <w:sz w:val="28"/>
          <w:szCs w:val="28"/>
        </w:rPr>
        <w:t xml:space="preserve">a sua discrezione </w:t>
      </w:r>
      <w:r>
        <w:rPr>
          <w:rFonts w:ascii="Times New Roman" w:hAnsi="Times New Roman"/>
          <w:sz w:val="28"/>
          <w:szCs w:val="28"/>
        </w:rPr>
        <w:t>le più favorevoli forme del</w:t>
      </w:r>
      <w:r w:rsidR="0094007C"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</w:rPr>
        <w:t xml:space="preserve"> vendite competitive, secondo la previsione di cui all’art. 104 ter L.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Fallim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4007C">
        <w:rPr>
          <w:rFonts w:ascii="Times New Roman" w:hAnsi="Times New Roman"/>
          <w:sz w:val="28"/>
          <w:szCs w:val="28"/>
        </w:rPr>
        <w:t xml:space="preserve">trasferendo impropriamente funzioni </w:t>
      </w:r>
      <w:proofErr w:type="spellStart"/>
      <w:r w:rsidR="0094007C">
        <w:rPr>
          <w:rFonts w:ascii="Times New Roman" w:hAnsi="Times New Roman"/>
          <w:sz w:val="28"/>
          <w:szCs w:val="28"/>
        </w:rPr>
        <w:t>gestorie</w:t>
      </w:r>
      <w:proofErr w:type="spellEnd"/>
      <w:r w:rsidR="0094007C">
        <w:rPr>
          <w:rFonts w:ascii="Times New Roman" w:hAnsi="Times New Roman"/>
          <w:sz w:val="28"/>
          <w:szCs w:val="28"/>
        </w:rPr>
        <w:t xml:space="preserve"> e di controllo dai curatori ai giudici delegati,  </w:t>
      </w:r>
      <w:r>
        <w:rPr>
          <w:rFonts w:ascii="Times New Roman" w:hAnsi="Times New Roman"/>
          <w:sz w:val="28"/>
          <w:szCs w:val="28"/>
        </w:rPr>
        <w:t>ma va</w:t>
      </w:r>
      <w:r w:rsidR="00D22A4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no a regolare unicamente i controlli che devono intervenire per la piena legittimità</w:t>
      </w:r>
      <w:r w:rsidR="00D22A4D">
        <w:rPr>
          <w:rFonts w:ascii="Times New Roman" w:hAnsi="Times New Roman"/>
          <w:sz w:val="28"/>
          <w:szCs w:val="28"/>
        </w:rPr>
        <w:t xml:space="preserve"> ed economicità</w:t>
      </w:r>
      <w:r>
        <w:rPr>
          <w:rFonts w:ascii="Times New Roman" w:hAnsi="Times New Roman"/>
          <w:sz w:val="28"/>
          <w:szCs w:val="28"/>
        </w:rPr>
        <w:t xml:space="preserve"> delle procedure</w:t>
      </w:r>
      <w:r w:rsidR="006C6BA0">
        <w:rPr>
          <w:rFonts w:ascii="Times New Roman" w:hAnsi="Times New Roman"/>
          <w:sz w:val="28"/>
          <w:szCs w:val="28"/>
        </w:rPr>
        <w:t>.</w:t>
      </w:r>
    </w:p>
    <w:p w14:paraId="1C69BAF5" w14:textId="77777777" w:rsidR="0094007C" w:rsidRDefault="006C6BA0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4007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dispone pertanto che le ammini</w:t>
      </w:r>
      <w:r w:rsidR="0094007C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trazioni fallimentari, eseguito l’inventario e predisposto il Programma di liquidazione indicante identità e modalità di vendita degli immobili</w:t>
      </w:r>
      <w:r w:rsidR="00F30C10">
        <w:rPr>
          <w:rFonts w:ascii="Times New Roman" w:hAnsi="Times New Roman"/>
          <w:sz w:val="28"/>
          <w:szCs w:val="28"/>
        </w:rPr>
        <w:t>, c</w:t>
      </w:r>
      <w:r>
        <w:rPr>
          <w:rFonts w:ascii="Times New Roman" w:hAnsi="Times New Roman"/>
          <w:sz w:val="28"/>
          <w:szCs w:val="28"/>
        </w:rPr>
        <w:t xml:space="preserve">onferiscano quesito estimatorio </w:t>
      </w:r>
      <w:r w:rsidR="0094007C">
        <w:rPr>
          <w:rFonts w:ascii="Times New Roman" w:hAnsi="Times New Roman"/>
          <w:sz w:val="28"/>
          <w:szCs w:val="28"/>
        </w:rPr>
        <w:t xml:space="preserve">per le vendite immobiliari </w:t>
      </w:r>
      <w:r>
        <w:rPr>
          <w:rFonts w:ascii="Times New Roman" w:hAnsi="Times New Roman"/>
          <w:sz w:val="28"/>
          <w:szCs w:val="28"/>
        </w:rPr>
        <w:t>ai professionisti di fiducia nel testo licenziato il 24.1.2019 dalla Sezione</w:t>
      </w:r>
      <w:r w:rsidR="00F30C10">
        <w:rPr>
          <w:rFonts w:ascii="Times New Roman" w:hAnsi="Times New Roman"/>
          <w:sz w:val="28"/>
          <w:szCs w:val="28"/>
        </w:rPr>
        <w:t xml:space="preserve">. </w:t>
      </w:r>
    </w:p>
    <w:p w14:paraId="1B3EAD5F" w14:textId="2A65E223" w:rsidR="006C6BA0" w:rsidRPr="006C6BA0" w:rsidRDefault="00F30C10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un secondo </w:t>
      </w:r>
      <w:proofErr w:type="gramStart"/>
      <w:r>
        <w:rPr>
          <w:rFonts w:ascii="Times New Roman" w:hAnsi="Times New Roman"/>
          <w:sz w:val="28"/>
          <w:szCs w:val="28"/>
        </w:rPr>
        <w:t xml:space="preserve">tempo, </w:t>
      </w:r>
      <w:r w:rsidR="006C6BA0">
        <w:rPr>
          <w:rFonts w:ascii="Times New Roman" w:hAnsi="Times New Roman"/>
          <w:sz w:val="28"/>
          <w:szCs w:val="28"/>
        </w:rPr>
        <w:t xml:space="preserve"> al</w:t>
      </w:r>
      <w:proofErr w:type="gramEnd"/>
      <w:r w:rsidR="006C6BA0">
        <w:rPr>
          <w:rFonts w:ascii="Times New Roman" w:hAnsi="Times New Roman"/>
          <w:sz w:val="28"/>
          <w:szCs w:val="28"/>
        </w:rPr>
        <w:t xml:space="preserve"> momento del deposito del programma di liquidazione o quando richiedono l’autorizzazione alla vendita di specifici ce</w:t>
      </w:r>
      <w:r w:rsidR="0094007C">
        <w:rPr>
          <w:rFonts w:ascii="Times New Roman" w:hAnsi="Times New Roman"/>
          <w:sz w:val="28"/>
          <w:szCs w:val="28"/>
        </w:rPr>
        <w:t>spi</w:t>
      </w:r>
      <w:r w:rsidR="006C6BA0">
        <w:rPr>
          <w:rFonts w:ascii="Times New Roman" w:hAnsi="Times New Roman"/>
          <w:sz w:val="28"/>
          <w:szCs w:val="28"/>
        </w:rPr>
        <w:t xml:space="preserve">ti immobiliari, </w:t>
      </w:r>
      <w:r>
        <w:rPr>
          <w:rFonts w:ascii="Times New Roman" w:hAnsi="Times New Roman"/>
          <w:sz w:val="28"/>
          <w:szCs w:val="28"/>
        </w:rPr>
        <w:t xml:space="preserve">le curatele dovranno predisporre </w:t>
      </w:r>
      <w:r w:rsidR="006C6BA0">
        <w:rPr>
          <w:rFonts w:ascii="Times New Roman" w:hAnsi="Times New Roman"/>
          <w:sz w:val="28"/>
          <w:szCs w:val="28"/>
        </w:rPr>
        <w:t>un</w:t>
      </w:r>
      <w:r w:rsidR="00086A61">
        <w:rPr>
          <w:rFonts w:ascii="Times New Roman" w:hAnsi="Times New Roman"/>
          <w:sz w:val="28"/>
          <w:szCs w:val="28"/>
        </w:rPr>
        <w:t>’istanza</w:t>
      </w:r>
      <w:r w:rsidR="006C6BA0">
        <w:rPr>
          <w:rFonts w:ascii="Times New Roman" w:hAnsi="Times New Roman"/>
          <w:sz w:val="28"/>
          <w:szCs w:val="28"/>
        </w:rPr>
        <w:t xml:space="preserve"> corredata della relazione di stima immobiliare e dei documenti dimostrativi della proprietà del manufatto in capo all’impresa/soggetto fallito, attestando di aver eseguito le verifiche di proprietà previste dall’art. 107 L. </w:t>
      </w:r>
      <w:proofErr w:type="spellStart"/>
      <w:r w:rsidR="006C6BA0">
        <w:rPr>
          <w:rFonts w:ascii="Times New Roman" w:hAnsi="Times New Roman"/>
          <w:sz w:val="28"/>
          <w:szCs w:val="28"/>
        </w:rPr>
        <w:t>Fallim</w:t>
      </w:r>
      <w:proofErr w:type="spellEnd"/>
      <w:r w:rsidR="006C6B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C6BA0">
        <w:rPr>
          <w:rFonts w:ascii="Times New Roman" w:hAnsi="Times New Roman"/>
          <w:sz w:val="28"/>
          <w:szCs w:val="28"/>
        </w:rPr>
        <w:t>ed</w:t>
      </w:r>
      <w:proofErr w:type="gramEnd"/>
      <w:r w:rsidR="006C6BA0">
        <w:rPr>
          <w:rFonts w:ascii="Times New Roman" w:hAnsi="Times New Roman"/>
          <w:sz w:val="28"/>
          <w:szCs w:val="28"/>
        </w:rPr>
        <w:t xml:space="preserve"> allegando i pertinenti documenti giustificativi. </w:t>
      </w:r>
      <w:r w:rsidR="006C6BA0" w:rsidRPr="0094007C">
        <w:rPr>
          <w:rFonts w:ascii="Times New Roman" w:hAnsi="Times New Roman"/>
          <w:i/>
          <w:sz w:val="28"/>
          <w:szCs w:val="28"/>
        </w:rPr>
        <w:t xml:space="preserve">Preferibilmente, una relazione notarile che dia contezza </w:t>
      </w:r>
      <w:r w:rsidR="0094007C" w:rsidRPr="0094007C">
        <w:rPr>
          <w:rFonts w:ascii="Times New Roman" w:hAnsi="Times New Roman"/>
          <w:i/>
          <w:sz w:val="28"/>
          <w:szCs w:val="28"/>
        </w:rPr>
        <w:t xml:space="preserve">circa </w:t>
      </w:r>
      <w:r w:rsidR="006C6BA0" w:rsidRPr="0094007C">
        <w:rPr>
          <w:rFonts w:ascii="Times New Roman" w:hAnsi="Times New Roman"/>
          <w:i/>
          <w:sz w:val="28"/>
          <w:szCs w:val="28"/>
        </w:rPr>
        <w:t>la titolarità dell’immobile da vendere nel ventennio anteriore, o altra specifica analisi di proprietà redatta da idoneo professionista</w:t>
      </w:r>
      <w:r w:rsidR="0094007C">
        <w:rPr>
          <w:rFonts w:ascii="Times New Roman" w:hAnsi="Times New Roman"/>
          <w:i/>
          <w:sz w:val="28"/>
          <w:szCs w:val="28"/>
        </w:rPr>
        <w:t xml:space="preserve">: </w:t>
      </w:r>
      <w:r w:rsidR="0094007C">
        <w:rPr>
          <w:rFonts w:ascii="Times New Roman" w:hAnsi="Times New Roman"/>
          <w:sz w:val="28"/>
          <w:szCs w:val="28"/>
        </w:rPr>
        <w:t>g</w:t>
      </w:r>
      <w:r w:rsidR="006C6BA0">
        <w:rPr>
          <w:rFonts w:ascii="Times New Roman" w:hAnsi="Times New Roman"/>
          <w:sz w:val="28"/>
          <w:szCs w:val="28"/>
        </w:rPr>
        <w:t>li oneri di tale verifica po</w:t>
      </w:r>
      <w:r w:rsidR="0094007C">
        <w:rPr>
          <w:rFonts w:ascii="Times New Roman" w:hAnsi="Times New Roman"/>
          <w:sz w:val="28"/>
          <w:szCs w:val="28"/>
        </w:rPr>
        <w:t>tranno e</w:t>
      </w:r>
      <w:r w:rsidR="006C6BA0">
        <w:rPr>
          <w:rFonts w:ascii="Times New Roman" w:hAnsi="Times New Roman"/>
          <w:sz w:val="28"/>
          <w:szCs w:val="28"/>
        </w:rPr>
        <w:t xml:space="preserve">ssere opportunamente contenuti mediante opportune negoziazioni e saranno </w:t>
      </w:r>
      <w:r w:rsidR="0094007C">
        <w:rPr>
          <w:rFonts w:ascii="Times New Roman" w:hAnsi="Times New Roman"/>
          <w:sz w:val="28"/>
          <w:szCs w:val="28"/>
        </w:rPr>
        <w:t xml:space="preserve">ragionevolmente </w:t>
      </w:r>
      <w:r w:rsidR="006C6BA0">
        <w:rPr>
          <w:rFonts w:ascii="Times New Roman" w:hAnsi="Times New Roman"/>
          <w:sz w:val="28"/>
          <w:szCs w:val="28"/>
        </w:rPr>
        <w:t>recuperati nella fase liquidatoria con la vendita del cespite.</w:t>
      </w:r>
    </w:p>
    <w:p w14:paraId="63BFB32F" w14:textId="0E4C533D" w:rsidR="0094007C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5411B1">
        <w:rPr>
          <w:rFonts w:ascii="Times New Roman" w:hAnsi="Times New Roman"/>
          <w:sz w:val="28"/>
          <w:szCs w:val="28"/>
        </w:rPr>
        <w:t xml:space="preserve">La necessaria rivisitazione delle </w:t>
      </w:r>
      <w:r w:rsidR="007F50D6">
        <w:rPr>
          <w:rFonts w:ascii="Times New Roman" w:hAnsi="Times New Roman"/>
          <w:sz w:val="28"/>
          <w:szCs w:val="28"/>
        </w:rPr>
        <w:t xml:space="preserve">procedure </w:t>
      </w:r>
      <w:r w:rsidRPr="005411B1">
        <w:rPr>
          <w:rFonts w:ascii="Times New Roman" w:hAnsi="Times New Roman"/>
          <w:sz w:val="28"/>
          <w:szCs w:val="28"/>
        </w:rPr>
        <w:t xml:space="preserve">che devono precedere i provvedimenti autorizzativi dei giudici delegati, nei termini che si sono appena esposti, è occasione propizia per definire anche </w:t>
      </w:r>
      <w:r w:rsidR="00F30C10">
        <w:rPr>
          <w:rFonts w:ascii="Times New Roman" w:hAnsi="Times New Roman"/>
          <w:sz w:val="28"/>
          <w:szCs w:val="28"/>
        </w:rPr>
        <w:t xml:space="preserve">i </w:t>
      </w:r>
      <w:r w:rsidRPr="005411B1">
        <w:rPr>
          <w:rFonts w:ascii="Times New Roman" w:hAnsi="Times New Roman"/>
          <w:sz w:val="28"/>
          <w:szCs w:val="28"/>
        </w:rPr>
        <w:t xml:space="preserve">profili inerenti </w:t>
      </w:r>
      <w:r w:rsidR="00F30C10">
        <w:rPr>
          <w:rFonts w:ascii="Times New Roman" w:hAnsi="Times New Roman"/>
          <w:sz w:val="28"/>
          <w:szCs w:val="28"/>
        </w:rPr>
        <w:t xml:space="preserve">il </w:t>
      </w:r>
      <w:r w:rsidR="00086A61">
        <w:rPr>
          <w:rFonts w:ascii="Times New Roman" w:hAnsi="Times New Roman"/>
          <w:sz w:val="28"/>
          <w:szCs w:val="28"/>
        </w:rPr>
        <w:t>profilo</w:t>
      </w:r>
      <w:r w:rsidR="00F30C10">
        <w:rPr>
          <w:rFonts w:ascii="Times New Roman" w:hAnsi="Times New Roman"/>
          <w:sz w:val="28"/>
          <w:szCs w:val="28"/>
        </w:rPr>
        <w:t xml:space="preserve"> liquidatorio delle </w:t>
      </w:r>
      <w:r w:rsidRPr="005411B1">
        <w:rPr>
          <w:rFonts w:ascii="Times New Roman" w:hAnsi="Times New Roman"/>
          <w:sz w:val="28"/>
          <w:szCs w:val="28"/>
        </w:rPr>
        <w:t>attività estimatori</w:t>
      </w:r>
      <w:r w:rsidR="00F30C10">
        <w:rPr>
          <w:rFonts w:ascii="Times New Roman" w:hAnsi="Times New Roman"/>
          <w:sz w:val="28"/>
          <w:szCs w:val="28"/>
        </w:rPr>
        <w:t>e</w:t>
      </w:r>
      <w:r w:rsidR="0094007C">
        <w:rPr>
          <w:rFonts w:ascii="Times New Roman" w:hAnsi="Times New Roman"/>
          <w:sz w:val="28"/>
          <w:szCs w:val="28"/>
        </w:rPr>
        <w:t>: l</w:t>
      </w:r>
      <w:r w:rsidR="00F30C10">
        <w:rPr>
          <w:rFonts w:ascii="Times New Roman" w:hAnsi="Times New Roman"/>
          <w:sz w:val="28"/>
          <w:szCs w:val="28"/>
        </w:rPr>
        <w:t>iquidazione</w:t>
      </w:r>
      <w:r w:rsidR="0094007C">
        <w:rPr>
          <w:rFonts w:ascii="Times New Roman" w:hAnsi="Times New Roman"/>
          <w:sz w:val="28"/>
          <w:szCs w:val="28"/>
        </w:rPr>
        <w:t>,</w:t>
      </w:r>
      <w:r w:rsidR="00F30C10">
        <w:rPr>
          <w:rFonts w:ascii="Times New Roman" w:hAnsi="Times New Roman"/>
          <w:sz w:val="28"/>
          <w:szCs w:val="28"/>
        </w:rPr>
        <w:t xml:space="preserve"> che </w:t>
      </w:r>
      <w:r w:rsidRPr="005411B1">
        <w:rPr>
          <w:rFonts w:ascii="Times New Roman" w:hAnsi="Times New Roman"/>
          <w:sz w:val="28"/>
          <w:szCs w:val="28"/>
        </w:rPr>
        <w:t xml:space="preserve">risulta </w:t>
      </w:r>
      <w:r w:rsidR="007F50D6">
        <w:rPr>
          <w:rFonts w:ascii="Times New Roman" w:hAnsi="Times New Roman"/>
          <w:sz w:val="28"/>
          <w:szCs w:val="28"/>
        </w:rPr>
        <w:t>spesso</w:t>
      </w:r>
      <w:r w:rsidR="008B496C">
        <w:rPr>
          <w:rFonts w:ascii="Times New Roman" w:hAnsi="Times New Roman"/>
          <w:sz w:val="28"/>
          <w:szCs w:val="28"/>
        </w:rPr>
        <w:t xml:space="preserve"> </w:t>
      </w:r>
      <w:r w:rsidRPr="005411B1">
        <w:rPr>
          <w:rFonts w:ascii="Times New Roman" w:hAnsi="Times New Roman"/>
          <w:sz w:val="28"/>
          <w:szCs w:val="28"/>
        </w:rPr>
        <w:t>eccessivamente onerosa rispetto ai compensi che vengono percepiti dagli stimatori nelle espropriazioni individuali</w:t>
      </w:r>
      <w:r w:rsidR="00AA7D30">
        <w:rPr>
          <w:rFonts w:ascii="Times New Roman" w:hAnsi="Times New Roman"/>
          <w:sz w:val="28"/>
          <w:szCs w:val="28"/>
        </w:rPr>
        <w:t xml:space="preserve">. </w:t>
      </w:r>
    </w:p>
    <w:p w14:paraId="6DBD1660" w14:textId="4652C0D7" w:rsidR="00595C3C" w:rsidRPr="005411B1" w:rsidRDefault="0094007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Quest’ultima t</w:t>
      </w:r>
      <w:r w:rsidR="00AA7D30">
        <w:rPr>
          <w:rFonts w:ascii="Times New Roman" w:hAnsi="Times New Roman"/>
          <w:sz w:val="28"/>
          <w:szCs w:val="28"/>
        </w:rPr>
        <w:t>ematica</w:t>
      </w:r>
      <w:r>
        <w:rPr>
          <w:rFonts w:ascii="Times New Roman" w:hAnsi="Times New Roman"/>
          <w:sz w:val="28"/>
          <w:szCs w:val="28"/>
        </w:rPr>
        <w:t xml:space="preserve"> è </w:t>
      </w:r>
      <w:proofErr w:type="gramStart"/>
      <w:r>
        <w:rPr>
          <w:rFonts w:ascii="Times New Roman" w:hAnsi="Times New Roman"/>
          <w:sz w:val="28"/>
          <w:szCs w:val="28"/>
        </w:rPr>
        <w:t xml:space="preserve">stata </w:t>
      </w:r>
      <w:r w:rsidR="00AA7D30">
        <w:rPr>
          <w:rFonts w:ascii="Times New Roman" w:hAnsi="Times New Roman"/>
          <w:sz w:val="28"/>
          <w:szCs w:val="28"/>
        </w:rPr>
        <w:t xml:space="preserve"> </w:t>
      </w:r>
      <w:r w:rsidR="00595C3C" w:rsidRPr="005411B1">
        <w:rPr>
          <w:rFonts w:ascii="Times New Roman" w:hAnsi="Times New Roman"/>
          <w:sz w:val="28"/>
          <w:szCs w:val="28"/>
        </w:rPr>
        <w:t>oggetto</w:t>
      </w:r>
      <w:proofErr w:type="gramEnd"/>
      <w:r w:rsidR="00595C3C" w:rsidRPr="005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per le espropriazioni non concorsuali - </w:t>
      </w:r>
      <w:r w:rsidR="00595C3C" w:rsidRPr="005411B1">
        <w:rPr>
          <w:rFonts w:ascii="Times New Roman" w:hAnsi="Times New Roman"/>
          <w:sz w:val="28"/>
          <w:szCs w:val="28"/>
        </w:rPr>
        <w:t xml:space="preserve">di recente approfondimento con la </w:t>
      </w:r>
      <w:r w:rsidR="008B496C">
        <w:rPr>
          <w:rFonts w:ascii="Times New Roman" w:hAnsi="Times New Roman"/>
          <w:sz w:val="28"/>
          <w:szCs w:val="28"/>
        </w:rPr>
        <w:t>D</w:t>
      </w:r>
      <w:r w:rsidR="00595C3C" w:rsidRPr="005411B1">
        <w:rPr>
          <w:rFonts w:ascii="Times New Roman" w:hAnsi="Times New Roman"/>
          <w:sz w:val="28"/>
          <w:szCs w:val="28"/>
        </w:rPr>
        <w:t xml:space="preserve">isposizione </w:t>
      </w:r>
      <w:r w:rsidR="008B496C">
        <w:rPr>
          <w:rFonts w:ascii="Times New Roman" w:hAnsi="Times New Roman"/>
          <w:sz w:val="28"/>
          <w:szCs w:val="28"/>
        </w:rPr>
        <w:t>O</w:t>
      </w:r>
      <w:r w:rsidR="00595C3C" w:rsidRPr="005411B1">
        <w:rPr>
          <w:rFonts w:ascii="Times New Roman" w:hAnsi="Times New Roman"/>
          <w:sz w:val="28"/>
          <w:szCs w:val="28"/>
        </w:rPr>
        <w:t xml:space="preserve">rganizzativa </w:t>
      </w:r>
      <w:r w:rsidR="008B496C">
        <w:rPr>
          <w:rFonts w:ascii="Times New Roman" w:hAnsi="Times New Roman"/>
          <w:sz w:val="28"/>
          <w:szCs w:val="28"/>
        </w:rPr>
        <w:t xml:space="preserve">n. </w:t>
      </w:r>
      <w:r w:rsidR="00595C3C" w:rsidRPr="005411B1">
        <w:rPr>
          <w:rFonts w:ascii="Times New Roman" w:hAnsi="Times New Roman"/>
          <w:sz w:val="28"/>
          <w:szCs w:val="28"/>
        </w:rPr>
        <w:t>25 del 13 dicembre scorso</w:t>
      </w:r>
      <w:r w:rsidR="008B496C">
        <w:rPr>
          <w:rFonts w:ascii="Times New Roman" w:hAnsi="Times New Roman"/>
          <w:sz w:val="28"/>
          <w:szCs w:val="28"/>
        </w:rPr>
        <w:t>,</w:t>
      </w:r>
      <w:r w:rsidR="00595C3C" w:rsidRPr="005411B1">
        <w:rPr>
          <w:rFonts w:ascii="Times New Roman" w:hAnsi="Times New Roman"/>
          <w:sz w:val="28"/>
          <w:szCs w:val="28"/>
        </w:rPr>
        <w:t xml:space="preserve"> </w:t>
      </w:r>
      <w:r w:rsidR="00BD7914">
        <w:rPr>
          <w:rFonts w:ascii="Times New Roman" w:hAnsi="Times New Roman"/>
          <w:sz w:val="28"/>
          <w:szCs w:val="28"/>
        </w:rPr>
        <w:lastRenderedPageBreak/>
        <w:t>c</w:t>
      </w:r>
      <w:r>
        <w:rPr>
          <w:rFonts w:ascii="Times New Roman" w:hAnsi="Times New Roman"/>
          <w:sz w:val="28"/>
          <w:szCs w:val="28"/>
        </w:rPr>
        <w:t>he merita di essere consultata per l’individuazione dei punti di convergenza tra le due tipologie espropriative</w:t>
      </w:r>
      <w:r w:rsidR="00595C3C" w:rsidRPr="005411B1">
        <w:rPr>
          <w:rFonts w:ascii="Times New Roman" w:hAnsi="Times New Roman"/>
          <w:sz w:val="28"/>
          <w:szCs w:val="28"/>
        </w:rPr>
        <w:t>.</w:t>
      </w:r>
    </w:p>
    <w:p w14:paraId="0A104BBA" w14:textId="41B62852" w:rsidR="00595C3C" w:rsidRPr="005411B1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5411B1">
        <w:rPr>
          <w:rFonts w:ascii="Times New Roman" w:hAnsi="Times New Roman"/>
          <w:sz w:val="28"/>
          <w:szCs w:val="28"/>
        </w:rPr>
        <w:t xml:space="preserve">Fermo restando che la designazione del perito </w:t>
      </w:r>
      <w:r w:rsidR="005411B1" w:rsidRPr="005411B1">
        <w:rPr>
          <w:rFonts w:ascii="Times New Roman" w:hAnsi="Times New Roman"/>
          <w:sz w:val="28"/>
          <w:szCs w:val="28"/>
        </w:rPr>
        <w:t>s</w:t>
      </w:r>
      <w:r w:rsidRPr="005411B1">
        <w:rPr>
          <w:rFonts w:ascii="Times New Roman" w:hAnsi="Times New Roman"/>
          <w:sz w:val="28"/>
          <w:szCs w:val="28"/>
        </w:rPr>
        <w:t xml:space="preserve">timatore è rimessa ad </w:t>
      </w:r>
      <w:r w:rsidR="009B7561">
        <w:rPr>
          <w:rFonts w:ascii="Times New Roman" w:hAnsi="Times New Roman"/>
          <w:sz w:val="28"/>
          <w:szCs w:val="28"/>
        </w:rPr>
        <w:t>una</w:t>
      </w:r>
      <w:r w:rsidRPr="005411B1">
        <w:rPr>
          <w:rFonts w:ascii="Times New Roman" w:hAnsi="Times New Roman"/>
          <w:sz w:val="28"/>
          <w:szCs w:val="28"/>
        </w:rPr>
        <w:t xml:space="preserve"> valutazione fiduciaria esclusiva da parte del curatore, sulla quale il giudice delegato non ha potere di sindacato, si deve </w:t>
      </w:r>
      <w:r w:rsidR="0094007C">
        <w:rPr>
          <w:rFonts w:ascii="Times New Roman" w:hAnsi="Times New Roman"/>
          <w:sz w:val="28"/>
          <w:szCs w:val="28"/>
        </w:rPr>
        <w:t xml:space="preserve">tuttavia </w:t>
      </w:r>
      <w:r w:rsidRPr="005411B1">
        <w:rPr>
          <w:rFonts w:ascii="Times New Roman" w:hAnsi="Times New Roman"/>
          <w:sz w:val="28"/>
          <w:szCs w:val="28"/>
        </w:rPr>
        <w:t>considerare che l</w:t>
      </w:r>
      <w:r w:rsidR="009B7561">
        <w:rPr>
          <w:rFonts w:ascii="Times New Roman" w:hAnsi="Times New Roman"/>
          <w:sz w:val="28"/>
          <w:szCs w:val="28"/>
        </w:rPr>
        <w:t>’</w:t>
      </w:r>
      <w:r w:rsidRPr="005411B1">
        <w:rPr>
          <w:rFonts w:ascii="Times New Roman" w:hAnsi="Times New Roman"/>
          <w:sz w:val="28"/>
          <w:szCs w:val="28"/>
        </w:rPr>
        <w:t xml:space="preserve">articolo </w:t>
      </w:r>
      <w:r w:rsidR="005411B1">
        <w:rPr>
          <w:rFonts w:ascii="Times New Roman" w:hAnsi="Times New Roman"/>
          <w:sz w:val="28"/>
          <w:szCs w:val="28"/>
        </w:rPr>
        <w:t xml:space="preserve">24 co. 1 n. 4 </w:t>
      </w:r>
      <w:r w:rsidRPr="005411B1">
        <w:rPr>
          <w:rFonts w:ascii="Times New Roman" w:hAnsi="Times New Roman"/>
          <w:sz w:val="28"/>
          <w:szCs w:val="28"/>
        </w:rPr>
        <w:t xml:space="preserve">della </w:t>
      </w:r>
      <w:r w:rsidR="009B7561">
        <w:rPr>
          <w:rFonts w:ascii="Times New Roman" w:hAnsi="Times New Roman"/>
          <w:sz w:val="28"/>
          <w:szCs w:val="28"/>
        </w:rPr>
        <w:t>L</w:t>
      </w:r>
      <w:r w:rsidRPr="005411B1">
        <w:rPr>
          <w:rFonts w:ascii="Times New Roman" w:hAnsi="Times New Roman"/>
          <w:sz w:val="28"/>
          <w:szCs w:val="28"/>
        </w:rPr>
        <w:t xml:space="preserve">egge </w:t>
      </w:r>
      <w:r w:rsidR="009B7561">
        <w:rPr>
          <w:rFonts w:ascii="Times New Roman" w:hAnsi="Times New Roman"/>
          <w:sz w:val="28"/>
          <w:szCs w:val="28"/>
        </w:rPr>
        <w:t>F</w:t>
      </w:r>
      <w:r w:rsidRPr="005411B1">
        <w:rPr>
          <w:rFonts w:ascii="Times New Roman" w:hAnsi="Times New Roman"/>
          <w:sz w:val="28"/>
          <w:szCs w:val="28"/>
        </w:rPr>
        <w:t>allimentare attribuisce all</w:t>
      </w:r>
      <w:r w:rsidR="009B7561">
        <w:rPr>
          <w:rFonts w:ascii="Times New Roman" w:hAnsi="Times New Roman"/>
          <w:sz w:val="28"/>
          <w:szCs w:val="28"/>
        </w:rPr>
        <w:t>’</w:t>
      </w:r>
      <w:r w:rsidRPr="005411B1">
        <w:rPr>
          <w:rFonts w:ascii="Times New Roman" w:hAnsi="Times New Roman"/>
          <w:sz w:val="28"/>
          <w:szCs w:val="28"/>
        </w:rPr>
        <w:t xml:space="preserve">organo giudiziario la liquidazione dei compensi </w:t>
      </w:r>
      <w:r w:rsidR="005411B1">
        <w:rPr>
          <w:rFonts w:ascii="Times New Roman" w:hAnsi="Times New Roman"/>
          <w:sz w:val="28"/>
          <w:szCs w:val="28"/>
        </w:rPr>
        <w:t xml:space="preserve">degli ausiliari </w:t>
      </w:r>
      <w:r w:rsidRPr="005411B1">
        <w:rPr>
          <w:rFonts w:ascii="Times New Roman" w:hAnsi="Times New Roman"/>
          <w:sz w:val="28"/>
          <w:szCs w:val="28"/>
        </w:rPr>
        <w:t xml:space="preserve">e quindi </w:t>
      </w:r>
      <w:r w:rsidR="005411B1">
        <w:rPr>
          <w:rFonts w:ascii="Times New Roman" w:hAnsi="Times New Roman"/>
          <w:sz w:val="28"/>
          <w:szCs w:val="28"/>
        </w:rPr>
        <w:t>gli deferisce</w:t>
      </w:r>
      <w:r w:rsidR="0094007C">
        <w:rPr>
          <w:rFonts w:ascii="Times New Roman" w:hAnsi="Times New Roman"/>
          <w:sz w:val="28"/>
          <w:szCs w:val="28"/>
        </w:rPr>
        <w:t xml:space="preserve">, in </w:t>
      </w:r>
      <w:proofErr w:type="gramStart"/>
      <w:r w:rsidR="0094007C">
        <w:rPr>
          <w:rFonts w:ascii="Times New Roman" w:hAnsi="Times New Roman"/>
          <w:sz w:val="28"/>
          <w:szCs w:val="28"/>
        </w:rPr>
        <w:t xml:space="preserve">generale, </w:t>
      </w:r>
      <w:r w:rsidR="005411B1">
        <w:rPr>
          <w:rFonts w:ascii="Times New Roman" w:hAnsi="Times New Roman"/>
          <w:sz w:val="28"/>
          <w:szCs w:val="28"/>
        </w:rPr>
        <w:t xml:space="preserve"> </w:t>
      </w:r>
      <w:r w:rsidR="009B7561">
        <w:rPr>
          <w:rFonts w:ascii="Times New Roman" w:hAnsi="Times New Roman"/>
          <w:sz w:val="28"/>
          <w:szCs w:val="28"/>
        </w:rPr>
        <w:t>un</w:t>
      </w:r>
      <w:proofErr w:type="gramEnd"/>
      <w:r w:rsidRPr="005411B1">
        <w:rPr>
          <w:rFonts w:ascii="Times New Roman" w:hAnsi="Times New Roman"/>
          <w:sz w:val="28"/>
          <w:szCs w:val="28"/>
        </w:rPr>
        <w:t xml:space="preserve"> vaglio sull</w:t>
      </w:r>
      <w:r w:rsidR="009B7561">
        <w:rPr>
          <w:rFonts w:ascii="Times New Roman" w:hAnsi="Times New Roman"/>
          <w:sz w:val="28"/>
          <w:szCs w:val="28"/>
        </w:rPr>
        <w:t>’</w:t>
      </w:r>
      <w:r w:rsidRPr="005411B1">
        <w:rPr>
          <w:rFonts w:ascii="Times New Roman" w:hAnsi="Times New Roman"/>
          <w:sz w:val="28"/>
          <w:szCs w:val="28"/>
        </w:rPr>
        <w:t>economicità e convenienza delle prestazioni professionali che si rendono necessarie in corso di procedura.</w:t>
      </w:r>
    </w:p>
    <w:p w14:paraId="2E35D2F2" w14:textId="319CB99C" w:rsidR="00595C3C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5411B1">
        <w:rPr>
          <w:rFonts w:ascii="Times New Roman" w:hAnsi="Times New Roman"/>
          <w:sz w:val="28"/>
          <w:szCs w:val="28"/>
        </w:rPr>
        <w:t xml:space="preserve">Come per ogni incarico professionale inerente le procedure fallimentari, è indispensabile </w:t>
      </w:r>
      <w:r w:rsidR="005411B1">
        <w:rPr>
          <w:rFonts w:ascii="Times New Roman" w:hAnsi="Times New Roman"/>
          <w:sz w:val="28"/>
          <w:szCs w:val="28"/>
        </w:rPr>
        <w:t xml:space="preserve">perciò </w:t>
      </w:r>
      <w:r w:rsidRPr="005411B1">
        <w:rPr>
          <w:rFonts w:ascii="Times New Roman" w:hAnsi="Times New Roman"/>
          <w:sz w:val="28"/>
          <w:szCs w:val="28"/>
        </w:rPr>
        <w:t xml:space="preserve">la predisposizione di </w:t>
      </w:r>
      <w:r w:rsidR="009B7561">
        <w:rPr>
          <w:rFonts w:ascii="Times New Roman" w:hAnsi="Times New Roman"/>
          <w:sz w:val="28"/>
          <w:szCs w:val="28"/>
        </w:rPr>
        <w:t>un</w:t>
      </w:r>
      <w:r w:rsidRPr="005411B1">
        <w:rPr>
          <w:rFonts w:ascii="Times New Roman" w:hAnsi="Times New Roman"/>
          <w:sz w:val="28"/>
          <w:szCs w:val="28"/>
        </w:rPr>
        <w:t xml:space="preserve"> preventivo scritto che</w:t>
      </w:r>
      <w:r w:rsidR="005411B1">
        <w:rPr>
          <w:rFonts w:ascii="Times New Roman" w:hAnsi="Times New Roman"/>
          <w:sz w:val="28"/>
          <w:szCs w:val="28"/>
        </w:rPr>
        <w:t xml:space="preserve"> </w:t>
      </w:r>
      <w:r w:rsidRPr="005411B1">
        <w:rPr>
          <w:rFonts w:ascii="Times New Roman" w:hAnsi="Times New Roman"/>
          <w:sz w:val="28"/>
          <w:szCs w:val="28"/>
        </w:rPr>
        <w:t xml:space="preserve">deve </w:t>
      </w:r>
      <w:r w:rsidR="005411B1">
        <w:rPr>
          <w:rFonts w:ascii="Times New Roman" w:hAnsi="Times New Roman"/>
          <w:sz w:val="28"/>
          <w:szCs w:val="28"/>
        </w:rPr>
        <w:t>tenere conto dell’</w:t>
      </w:r>
      <w:r w:rsidRPr="005411B1">
        <w:rPr>
          <w:rFonts w:ascii="Times New Roman" w:hAnsi="Times New Roman"/>
          <w:sz w:val="28"/>
          <w:szCs w:val="28"/>
        </w:rPr>
        <w:t xml:space="preserve">esigenza di </w:t>
      </w:r>
      <w:r w:rsidR="009B7561">
        <w:rPr>
          <w:rFonts w:ascii="Times New Roman" w:hAnsi="Times New Roman"/>
          <w:sz w:val="28"/>
          <w:szCs w:val="28"/>
        </w:rPr>
        <w:t>una r</w:t>
      </w:r>
      <w:r w:rsidRPr="005411B1">
        <w:rPr>
          <w:rFonts w:ascii="Times New Roman" w:hAnsi="Times New Roman"/>
          <w:sz w:val="28"/>
          <w:szCs w:val="28"/>
        </w:rPr>
        <w:t>emunerazione a</w:t>
      </w:r>
      <w:r w:rsidR="00432170">
        <w:rPr>
          <w:rFonts w:ascii="Times New Roman" w:hAnsi="Times New Roman"/>
          <w:sz w:val="28"/>
          <w:szCs w:val="28"/>
        </w:rPr>
        <w:t xml:space="preserve">ppropriata </w:t>
      </w:r>
      <w:r w:rsidRPr="005411B1">
        <w:rPr>
          <w:rFonts w:ascii="Times New Roman" w:hAnsi="Times New Roman"/>
          <w:sz w:val="28"/>
          <w:szCs w:val="28"/>
        </w:rPr>
        <w:t>alla complessità delle prestazioni richieste, senza ignorare le speciali caratteristiche della committenza</w:t>
      </w:r>
      <w:r w:rsidR="005411B1">
        <w:rPr>
          <w:rFonts w:ascii="Times New Roman" w:hAnsi="Times New Roman"/>
          <w:sz w:val="28"/>
          <w:szCs w:val="28"/>
        </w:rPr>
        <w:t xml:space="preserve">, la quale </w:t>
      </w:r>
      <w:r w:rsidRPr="005411B1">
        <w:rPr>
          <w:rFonts w:ascii="Times New Roman" w:hAnsi="Times New Roman"/>
          <w:sz w:val="28"/>
          <w:szCs w:val="28"/>
        </w:rPr>
        <w:t xml:space="preserve">deve gestire la massa attiva in modo </w:t>
      </w:r>
      <w:r w:rsidR="005411B1">
        <w:rPr>
          <w:rFonts w:ascii="Times New Roman" w:hAnsi="Times New Roman"/>
          <w:sz w:val="28"/>
          <w:szCs w:val="28"/>
        </w:rPr>
        <w:t>da</w:t>
      </w:r>
      <w:r w:rsidRPr="005411B1">
        <w:rPr>
          <w:rFonts w:ascii="Times New Roman" w:hAnsi="Times New Roman"/>
          <w:sz w:val="28"/>
          <w:szCs w:val="28"/>
        </w:rPr>
        <w:t xml:space="preserve"> ottimizzare le distribuzioni possibili</w:t>
      </w:r>
      <w:r w:rsidR="005411B1">
        <w:rPr>
          <w:rFonts w:ascii="Times New Roman" w:hAnsi="Times New Roman"/>
          <w:sz w:val="28"/>
          <w:szCs w:val="28"/>
        </w:rPr>
        <w:t xml:space="preserve"> in favore dei creditori</w:t>
      </w:r>
      <w:r w:rsidRPr="005411B1">
        <w:rPr>
          <w:rFonts w:ascii="Times New Roman" w:hAnsi="Times New Roman"/>
          <w:sz w:val="28"/>
          <w:szCs w:val="28"/>
        </w:rPr>
        <w:t>.</w:t>
      </w:r>
    </w:p>
    <w:p w14:paraId="0788BCED" w14:textId="39F62FEF" w:rsidR="00AA7D30" w:rsidRPr="005411B1" w:rsidRDefault="00AA7D30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BE0A28">
        <w:rPr>
          <w:rFonts w:ascii="Times New Roman" w:hAnsi="Times New Roman"/>
          <w:b/>
          <w:i/>
          <w:sz w:val="28"/>
          <w:szCs w:val="28"/>
        </w:rPr>
        <w:t xml:space="preserve">A questo specifico </w:t>
      </w:r>
      <w:r w:rsidR="00BE0A28" w:rsidRPr="00BE0A28">
        <w:rPr>
          <w:rFonts w:ascii="Times New Roman" w:hAnsi="Times New Roman"/>
          <w:b/>
          <w:i/>
          <w:sz w:val="28"/>
          <w:szCs w:val="28"/>
        </w:rPr>
        <w:t xml:space="preserve">riguardo si fa presente che in alcuni recenti casi il Tribunale fallimentare è stato costretto a forti penalizzazioni delle liquidazioni spettanti ai curatori, nelle ipotesi in cui il pagamento immediato delle spese prededucibili, </w:t>
      </w:r>
      <w:r w:rsidR="00BE0A28">
        <w:rPr>
          <w:rFonts w:ascii="Times New Roman" w:hAnsi="Times New Roman"/>
          <w:b/>
          <w:i/>
          <w:sz w:val="28"/>
          <w:szCs w:val="28"/>
        </w:rPr>
        <w:t xml:space="preserve">specie per compensi professionali degli ausiliari, </w:t>
      </w:r>
      <w:r w:rsidR="00BE0A28" w:rsidRPr="00BE0A28">
        <w:rPr>
          <w:rFonts w:ascii="Times New Roman" w:hAnsi="Times New Roman"/>
          <w:b/>
          <w:i/>
          <w:sz w:val="28"/>
          <w:szCs w:val="28"/>
        </w:rPr>
        <w:t xml:space="preserve">senza </w:t>
      </w:r>
      <w:r w:rsidR="00432170">
        <w:rPr>
          <w:rFonts w:ascii="Times New Roman" w:hAnsi="Times New Roman"/>
          <w:b/>
          <w:i/>
          <w:sz w:val="28"/>
          <w:szCs w:val="28"/>
        </w:rPr>
        <w:t>o</w:t>
      </w:r>
      <w:r w:rsidR="00BE0A28">
        <w:rPr>
          <w:rFonts w:ascii="Times New Roman" w:hAnsi="Times New Roman"/>
          <w:b/>
          <w:i/>
          <w:sz w:val="28"/>
          <w:szCs w:val="28"/>
        </w:rPr>
        <w:t xml:space="preserve">culata </w:t>
      </w:r>
      <w:r w:rsidR="00432170">
        <w:rPr>
          <w:rFonts w:ascii="Times New Roman" w:hAnsi="Times New Roman"/>
          <w:b/>
          <w:i/>
          <w:sz w:val="28"/>
          <w:szCs w:val="28"/>
        </w:rPr>
        <w:t xml:space="preserve">e prudente </w:t>
      </w:r>
      <w:r w:rsidR="00BE0A28" w:rsidRPr="00BE0A28">
        <w:rPr>
          <w:rFonts w:ascii="Times New Roman" w:hAnsi="Times New Roman"/>
          <w:b/>
          <w:i/>
          <w:sz w:val="28"/>
          <w:szCs w:val="28"/>
        </w:rPr>
        <w:t>gestione de</w:t>
      </w:r>
      <w:r w:rsidR="007F50D6">
        <w:rPr>
          <w:rFonts w:ascii="Times New Roman" w:hAnsi="Times New Roman"/>
          <w:b/>
          <w:i/>
          <w:sz w:val="28"/>
          <w:szCs w:val="28"/>
        </w:rPr>
        <w:t>gli attivi d</w:t>
      </w:r>
      <w:r w:rsidR="00BE0A28" w:rsidRPr="00BE0A28">
        <w:rPr>
          <w:rFonts w:ascii="Times New Roman" w:hAnsi="Times New Roman"/>
          <w:b/>
          <w:i/>
          <w:sz w:val="28"/>
          <w:szCs w:val="28"/>
        </w:rPr>
        <w:t>isponibili, era andato a ridurre sensibilmente le risorse distribuibili con il riparto finale</w:t>
      </w:r>
      <w:r w:rsidR="00BE0A28">
        <w:rPr>
          <w:rFonts w:ascii="Times New Roman" w:hAnsi="Times New Roman"/>
          <w:sz w:val="28"/>
          <w:szCs w:val="28"/>
        </w:rPr>
        <w:t xml:space="preserve">. </w:t>
      </w:r>
    </w:p>
    <w:p w14:paraId="63DD4F4E" w14:textId="0C478A5E" w:rsidR="007F50D6" w:rsidRDefault="00432170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7F50D6">
        <w:rPr>
          <w:rFonts w:ascii="Times New Roman" w:hAnsi="Times New Roman"/>
          <w:sz w:val="28"/>
          <w:szCs w:val="28"/>
        </w:rPr>
        <w:t xml:space="preserve">onsiderate le specifiche funzioni della gestione fallimentare, </w:t>
      </w:r>
      <w:r w:rsidR="00595C3C" w:rsidRPr="005411B1">
        <w:rPr>
          <w:rFonts w:ascii="Times New Roman" w:hAnsi="Times New Roman"/>
          <w:sz w:val="28"/>
          <w:szCs w:val="28"/>
        </w:rPr>
        <w:t>si invitano i c</w:t>
      </w:r>
      <w:r>
        <w:rPr>
          <w:rFonts w:ascii="Times New Roman" w:hAnsi="Times New Roman"/>
          <w:sz w:val="28"/>
          <w:szCs w:val="28"/>
        </w:rPr>
        <w:t>onseguentemente i c</w:t>
      </w:r>
      <w:r w:rsidR="00595C3C" w:rsidRPr="005411B1">
        <w:rPr>
          <w:rFonts w:ascii="Times New Roman" w:hAnsi="Times New Roman"/>
          <w:sz w:val="28"/>
          <w:szCs w:val="28"/>
        </w:rPr>
        <w:t xml:space="preserve">uratori a fare riferimento </w:t>
      </w:r>
      <w:r w:rsidR="007F50D6">
        <w:rPr>
          <w:rFonts w:ascii="Times New Roman" w:hAnsi="Times New Roman"/>
          <w:sz w:val="28"/>
          <w:szCs w:val="28"/>
        </w:rPr>
        <w:t>princip</w:t>
      </w:r>
      <w:r>
        <w:rPr>
          <w:rFonts w:ascii="Times New Roman" w:hAnsi="Times New Roman"/>
          <w:sz w:val="28"/>
          <w:szCs w:val="28"/>
        </w:rPr>
        <w:t>a</w:t>
      </w:r>
      <w:r w:rsidR="007F50D6">
        <w:rPr>
          <w:rFonts w:ascii="Times New Roman" w:hAnsi="Times New Roman"/>
          <w:sz w:val="28"/>
          <w:szCs w:val="28"/>
        </w:rPr>
        <w:t>lmente</w:t>
      </w:r>
      <w:r>
        <w:rPr>
          <w:rFonts w:ascii="Times New Roman" w:hAnsi="Times New Roman"/>
          <w:sz w:val="28"/>
          <w:szCs w:val="28"/>
        </w:rPr>
        <w:t xml:space="preserve"> per la negoziazione dei compensi per le stime</w:t>
      </w:r>
      <w:r w:rsidR="007F50D6">
        <w:rPr>
          <w:rFonts w:ascii="Times New Roman" w:hAnsi="Times New Roman"/>
          <w:sz w:val="28"/>
          <w:szCs w:val="28"/>
        </w:rPr>
        <w:t xml:space="preserve"> – più che </w:t>
      </w:r>
      <w:r w:rsidR="00595C3C" w:rsidRPr="005411B1">
        <w:rPr>
          <w:rFonts w:ascii="Times New Roman" w:hAnsi="Times New Roman"/>
          <w:sz w:val="28"/>
          <w:szCs w:val="28"/>
        </w:rPr>
        <w:t>alla disciplina tariffaria per il settore di riferimento</w:t>
      </w:r>
      <w:r w:rsidR="007F50D6">
        <w:rPr>
          <w:rFonts w:ascii="Times New Roman" w:hAnsi="Times New Roman"/>
          <w:sz w:val="28"/>
          <w:szCs w:val="28"/>
        </w:rPr>
        <w:t xml:space="preserve"> di cui al </w:t>
      </w:r>
      <w:r w:rsidR="009B7561">
        <w:rPr>
          <w:rFonts w:ascii="Times New Roman" w:hAnsi="Times New Roman"/>
          <w:sz w:val="28"/>
          <w:szCs w:val="28"/>
        </w:rPr>
        <w:t>D</w:t>
      </w:r>
      <w:r w:rsidR="00595C3C" w:rsidRPr="005411B1">
        <w:rPr>
          <w:rFonts w:ascii="Times New Roman" w:hAnsi="Times New Roman"/>
          <w:sz w:val="28"/>
          <w:szCs w:val="28"/>
        </w:rPr>
        <w:t xml:space="preserve">ecreto </w:t>
      </w:r>
      <w:r w:rsidR="009B7561">
        <w:rPr>
          <w:rFonts w:ascii="Times New Roman" w:hAnsi="Times New Roman"/>
          <w:sz w:val="28"/>
          <w:szCs w:val="28"/>
        </w:rPr>
        <w:t>M</w:t>
      </w:r>
      <w:r w:rsidR="00595C3C" w:rsidRPr="005411B1">
        <w:rPr>
          <w:rFonts w:ascii="Times New Roman" w:hAnsi="Times New Roman"/>
          <w:sz w:val="28"/>
          <w:szCs w:val="28"/>
        </w:rPr>
        <w:t xml:space="preserve">inisteriale </w:t>
      </w:r>
      <w:r w:rsidR="009B7561">
        <w:rPr>
          <w:rFonts w:ascii="Times New Roman" w:hAnsi="Times New Roman"/>
          <w:sz w:val="28"/>
          <w:szCs w:val="28"/>
        </w:rPr>
        <w:t>n.</w:t>
      </w:r>
      <w:r w:rsidR="00595C3C" w:rsidRPr="005411B1">
        <w:rPr>
          <w:rFonts w:ascii="Times New Roman" w:hAnsi="Times New Roman"/>
          <w:sz w:val="28"/>
          <w:szCs w:val="28"/>
        </w:rPr>
        <w:t xml:space="preserve"> 140 del 2012</w:t>
      </w:r>
      <w:r w:rsidR="007F50D6">
        <w:rPr>
          <w:rFonts w:ascii="Times New Roman" w:hAnsi="Times New Roman"/>
          <w:sz w:val="28"/>
          <w:szCs w:val="28"/>
        </w:rPr>
        <w:t xml:space="preserve"> – al </w:t>
      </w:r>
      <w:r w:rsidR="00595C3C" w:rsidRPr="005411B1">
        <w:rPr>
          <w:rFonts w:ascii="Times New Roman" w:hAnsi="Times New Roman"/>
          <w:sz w:val="28"/>
          <w:szCs w:val="28"/>
        </w:rPr>
        <w:t xml:space="preserve"> </w:t>
      </w:r>
      <w:r w:rsidR="007F50D6">
        <w:rPr>
          <w:rFonts w:ascii="Times New Roman" w:hAnsi="Times New Roman"/>
          <w:sz w:val="28"/>
          <w:szCs w:val="28"/>
        </w:rPr>
        <w:t xml:space="preserve">Decreto Ministeriale n. 182 del </w:t>
      </w:r>
      <w:r w:rsidR="007F50D6" w:rsidRPr="005411B1">
        <w:rPr>
          <w:rFonts w:ascii="Times New Roman" w:hAnsi="Times New Roman"/>
          <w:sz w:val="28"/>
          <w:szCs w:val="28"/>
        </w:rPr>
        <w:t xml:space="preserve">30 maggio 2002, </w:t>
      </w:r>
      <w:r w:rsidR="007F50D6">
        <w:rPr>
          <w:rFonts w:ascii="Times New Roman" w:hAnsi="Times New Roman"/>
          <w:sz w:val="28"/>
          <w:szCs w:val="28"/>
        </w:rPr>
        <w:t xml:space="preserve">concordando </w:t>
      </w:r>
      <w:r w:rsidR="007F50D6" w:rsidRPr="005411B1">
        <w:rPr>
          <w:rFonts w:ascii="Times New Roman" w:hAnsi="Times New Roman"/>
          <w:sz w:val="28"/>
          <w:szCs w:val="28"/>
        </w:rPr>
        <w:t xml:space="preserve">con i professionisti </w:t>
      </w:r>
      <w:r w:rsidR="007F50D6">
        <w:rPr>
          <w:rFonts w:ascii="Times New Roman" w:hAnsi="Times New Roman"/>
          <w:sz w:val="28"/>
          <w:szCs w:val="28"/>
        </w:rPr>
        <w:t xml:space="preserve">incaricati </w:t>
      </w:r>
      <w:r w:rsidR="007F50D6" w:rsidRPr="005411B1">
        <w:rPr>
          <w:rFonts w:ascii="Times New Roman" w:hAnsi="Times New Roman"/>
          <w:sz w:val="28"/>
          <w:szCs w:val="28"/>
        </w:rPr>
        <w:t xml:space="preserve">la remunerazione delle prestazioni richieste </w:t>
      </w:r>
      <w:r w:rsidR="007F50D6">
        <w:rPr>
          <w:rFonts w:ascii="Times New Roman" w:hAnsi="Times New Roman"/>
          <w:sz w:val="28"/>
          <w:szCs w:val="28"/>
        </w:rPr>
        <w:t xml:space="preserve">in base alle regole previste in tale </w:t>
      </w:r>
      <w:r w:rsidR="007F50D6" w:rsidRPr="005411B1">
        <w:rPr>
          <w:rFonts w:ascii="Times New Roman" w:hAnsi="Times New Roman"/>
          <w:sz w:val="28"/>
          <w:szCs w:val="28"/>
        </w:rPr>
        <w:t>fonte regolamentare</w:t>
      </w:r>
      <w:r>
        <w:rPr>
          <w:rFonts w:ascii="Times New Roman" w:hAnsi="Times New Roman"/>
          <w:sz w:val="28"/>
          <w:szCs w:val="28"/>
        </w:rPr>
        <w:t xml:space="preserve"> e</w:t>
      </w:r>
      <w:r w:rsidR="007F50D6" w:rsidRPr="005411B1">
        <w:rPr>
          <w:rFonts w:ascii="Times New Roman" w:hAnsi="Times New Roman"/>
          <w:sz w:val="28"/>
          <w:szCs w:val="28"/>
        </w:rPr>
        <w:t xml:space="preserve"> tenendo conto delle indicazioni tariffarie dat</w:t>
      </w:r>
      <w:r w:rsidR="007F50D6">
        <w:rPr>
          <w:rFonts w:ascii="Times New Roman" w:hAnsi="Times New Roman"/>
          <w:sz w:val="28"/>
          <w:szCs w:val="28"/>
        </w:rPr>
        <w:t>e</w:t>
      </w:r>
      <w:r w:rsidR="007F50D6" w:rsidRPr="005411B1">
        <w:rPr>
          <w:rFonts w:ascii="Times New Roman" w:hAnsi="Times New Roman"/>
          <w:sz w:val="28"/>
          <w:szCs w:val="28"/>
        </w:rPr>
        <w:t xml:space="preserve"> dalla </w:t>
      </w:r>
      <w:r w:rsidR="007F50D6">
        <w:rPr>
          <w:rFonts w:ascii="Times New Roman" w:hAnsi="Times New Roman"/>
          <w:sz w:val="28"/>
          <w:szCs w:val="28"/>
        </w:rPr>
        <w:t>S</w:t>
      </w:r>
      <w:r w:rsidR="007F50D6" w:rsidRPr="005411B1">
        <w:rPr>
          <w:rFonts w:ascii="Times New Roman" w:hAnsi="Times New Roman"/>
          <w:sz w:val="28"/>
          <w:szCs w:val="28"/>
        </w:rPr>
        <w:t xml:space="preserve">ezione con la citata </w:t>
      </w:r>
      <w:r>
        <w:rPr>
          <w:rFonts w:ascii="Times New Roman" w:hAnsi="Times New Roman"/>
          <w:sz w:val="28"/>
          <w:szCs w:val="28"/>
        </w:rPr>
        <w:t>D</w:t>
      </w:r>
      <w:r w:rsidR="007F50D6" w:rsidRPr="005411B1">
        <w:rPr>
          <w:rFonts w:ascii="Times New Roman" w:hAnsi="Times New Roman"/>
          <w:sz w:val="28"/>
          <w:szCs w:val="28"/>
        </w:rPr>
        <w:t xml:space="preserve">isposizione </w:t>
      </w:r>
      <w:r>
        <w:rPr>
          <w:rFonts w:ascii="Times New Roman" w:hAnsi="Times New Roman"/>
          <w:sz w:val="28"/>
          <w:szCs w:val="28"/>
        </w:rPr>
        <w:t>O</w:t>
      </w:r>
      <w:r w:rsidR="007F50D6" w:rsidRPr="005411B1">
        <w:rPr>
          <w:rFonts w:ascii="Times New Roman" w:hAnsi="Times New Roman"/>
          <w:sz w:val="28"/>
          <w:szCs w:val="28"/>
        </w:rPr>
        <w:t>rganizzativa n</w:t>
      </w:r>
      <w:r w:rsidR="007F50D6">
        <w:rPr>
          <w:rFonts w:ascii="Times New Roman" w:hAnsi="Times New Roman"/>
          <w:sz w:val="28"/>
          <w:szCs w:val="28"/>
        </w:rPr>
        <w:t xml:space="preserve">. </w:t>
      </w:r>
      <w:r w:rsidR="007F50D6" w:rsidRPr="005411B1">
        <w:rPr>
          <w:rFonts w:ascii="Times New Roman" w:hAnsi="Times New Roman"/>
          <w:sz w:val="28"/>
          <w:szCs w:val="28"/>
        </w:rPr>
        <w:t xml:space="preserve">25 del 2021, </w:t>
      </w:r>
      <w:r w:rsidR="007F50D6">
        <w:rPr>
          <w:rFonts w:ascii="Times New Roman" w:hAnsi="Times New Roman"/>
          <w:sz w:val="28"/>
          <w:szCs w:val="28"/>
        </w:rPr>
        <w:t>ma</w:t>
      </w:r>
      <w:r w:rsidR="007F50D6" w:rsidRPr="005411B1">
        <w:rPr>
          <w:rFonts w:ascii="Times New Roman" w:hAnsi="Times New Roman"/>
          <w:sz w:val="28"/>
          <w:szCs w:val="28"/>
        </w:rPr>
        <w:t xml:space="preserve"> con </w:t>
      </w:r>
      <w:r w:rsidR="007F50D6">
        <w:rPr>
          <w:rFonts w:ascii="Times New Roman" w:hAnsi="Times New Roman"/>
          <w:sz w:val="28"/>
          <w:szCs w:val="28"/>
        </w:rPr>
        <w:t>un</w:t>
      </w:r>
      <w:r w:rsidR="007F50D6" w:rsidRPr="005411B1">
        <w:rPr>
          <w:rFonts w:ascii="Times New Roman" w:hAnsi="Times New Roman"/>
          <w:sz w:val="28"/>
          <w:szCs w:val="28"/>
        </w:rPr>
        <w:t xml:space="preserve"> necessario correttivo.</w:t>
      </w:r>
    </w:p>
    <w:p w14:paraId="75C01494" w14:textId="5805F84D" w:rsidR="007F50D6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5411B1">
        <w:rPr>
          <w:rFonts w:ascii="Times New Roman" w:hAnsi="Times New Roman"/>
          <w:sz w:val="28"/>
          <w:szCs w:val="28"/>
        </w:rPr>
        <w:t>Infatti non è applicabile</w:t>
      </w:r>
      <w:r w:rsidR="00AA5E50">
        <w:rPr>
          <w:rFonts w:ascii="Times New Roman" w:hAnsi="Times New Roman"/>
          <w:sz w:val="28"/>
          <w:szCs w:val="28"/>
        </w:rPr>
        <w:t xml:space="preserve"> alla materia fallimentare </w:t>
      </w:r>
      <w:r w:rsidR="009B7561">
        <w:rPr>
          <w:rFonts w:ascii="Times New Roman" w:hAnsi="Times New Roman"/>
          <w:sz w:val="28"/>
          <w:szCs w:val="28"/>
        </w:rPr>
        <w:t>– nell’</w:t>
      </w:r>
      <w:r w:rsidRPr="005411B1">
        <w:rPr>
          <w:rFonts w:ascii="Times New Roman" w:hAnsi="Times New Roman"/>
          <w:sz w:val="28"/>
          <w:szCs w:val="28"/>
        </w:rPr>
        <w:t>opinione de</w:t>
      </w:r>
      <w:r w:rsidR="00AA5E50">
        <w:rPr>
          <w:rFonts w:ascii="Times New Roman" w:hAnsi="Times New Roman"/>
          <w:sz w:val="28"/>
          <w:szCs w:val="28"/>
        </w:rPr>
        <w:t xml:space="preserve">i giudici delegati </w:t>
      </w:r>
      <w:r w:rsidR="009B7561">
        <w:rPr>
          <w:rFonts w:ascii="Times New Roman" w:hAnsi="Times New Roman"/>
          <w:sz w:val="28"/>
          <w:szCs w:val="28"/>
        </w:rPr>
        <w:t>–</w:t>
      </w:r>
      <w:r w:rsidR="00AA5E50">
        <w:rPr>
          <w:rFonts w:ascii="Times New Roman" w:hAnsi="Times New Roman"/>
          <w:sz w:val="28"/>
          <w:szCs w:val="28"/>
        </w:rPr>
        <w:t xml:space="preserve"> </w:t>
      </w:r>
      <w:r w:rsidRPr="005411B1">
        <w:rPr>
          <w:rFonts w:ascii="Times New Roman" w:hAnsi="Times New Roman"/>
          <w:sz w:val="28"/>
          <w:szCs w:val="28"/>
        </w:rPr>
        <w:t>la speciale disposizione di cui all</w:t>
      </w:r>
      <w:r w:rsidR="009B7561">
        <w:rPr>
          <w:rFonts w:ascii="Times New Roman" w:hAnsi="Times New Roman"/>
          <w:sz w:val="28"/>
          <w:szCs w:val="28"/>
        </w:rPr>
        <w:t>’</w:t>
      </w:r>
      <w:r w:rsidRPr="005411B1">
        <w:rPr>
          <w:rFonts w:ascii="Times New Roman" w:hAnsi="Times New Roman"/>
          <w:sz w:val="28"/>
          <w:szCs w:val="28"/>
        </w:rPr>
        <w:t>art</w:t>
      </w:r>
      <w:r w:rsidR="00AA5E50">
        <w:rPr>
          <w:rFonts w:ascii="Times New Roman" w:hAnsi="Times New Roman"/>
          <w:sz w:val="28"/>
          <w:szCs w:val="28"/>
        </w:rPr>
        <w:t>.</w:t>
      </w:r>
      <w:r w:rsidRPr="005411B1">
        <w:rPr>
          <w:rFonts w:ascii="Times New Roman" w:hAnsi="Times New Roman"/>
          <w:sz w:val="28"/>
          <w:szCs w:val="28"/>
        </w:rPr>
        <w:t xml:space="preserve"> 161 </w:t>
      </w:r>
      <w:r w:rsidR="00AA5E50">
        <w:rPr>
          <w:rFonts w:ascii="Times New Roman" w:hAnsi="Times New Roman"/>
          <w:sz w:val="28"/>
          <w:szCs w:val="28"/>
        </w:rPr>
        <w:t xml:space="preserve">co. 2 </w:t>
      </w:r>
      <w:r w:rsidR="009B7561">
        <w:rPr>
          <w:rFonts w:ascii="Times New Roman" w:hAnsi="Times New Roman"/>
          <w:sz w:val="28"/>
          <w:szCs w:val="28"/>
        </w:rPr>
        <w:t xml:space="preserve">delle </w:t>
      </w:r>
      <w:r w:rsidRPr="005411B1">
        <w:rPr>
          <w:rFonts w:ascii="Times New Roman" w:hAnsi="Times New Roman"/>
          <w:sz w:val="28"/>
          <w:szCs w:val="28"/>
        </w:rPr>
        <w:t xml:space="preserve">disposizioni di attuazione del </w:t>
      </w:r>
      <w:r w:rsidR="009B7561">
        <w:rPr>
          <w:rFonts w:ascii="Times New Roman" w:hAnsi="Times New Roman"/>
          <w:sz w:val="28"/>
          <w:szCs w:val="28"/>
        </w:rPr>
        <w:t>C</w:t>
      </w:r>
      <w:r w:rsidRPr="005411B1">
        <w:rPr>
          <w:rFonts w:ascii="Times New Roman" w:hAnsi="Times New Roman"/>
          <w:sz w:val="28"/>
          <w:szCs w:val="28"/>
        </w:rPr>
        <w:t xml:space="preserve">odice di procedura civile, che </w:t>
      </w:r>
      <w:r w:rsidR="00AA5E50">
        <w:rPr>
          <w:rFonts w:ascii="Times New Roman" w:hAnsi="Times New Roman"/>
          <w:sz w:val="28"/>
          <w:szCs w:val="28"/>
        </w:rPr>
        <w:t xml:space="preserve">è </w:t>
      </w:r>
      <w:r w:rsidRPr="005411B1">
        <w:rPr>
          <w:rFonts w:ascii="Times New Roman" w:hAnsi="Times New Roman"/>
          <w:sz w:val="28"/>
          <w:szCs w:val="28"/>
        </w:rPr>
        <w:t xml:space="preserve">norma di assoluta eccezionalità. Tuttavia la </w:t>
      </w:r>
      <w:r w:rsidRPr="00AA5E50">
        <w:rPr>
          <w:rFonts w:ascii="Times New Roman" w:hAnsi="Times New Roman"/>
          <w:i/>
          <w:sz w:val="28"/>
          <w:szCs w:val="28"/>
        </w:rPr>
        <w:t>r</w:t>
      </w:r>
      <w:r w:rsidR="00AA5E50" w:rsidRPr="00AA5E50">
        <w:rPr>
          <w:rFonts w:ascii="Times New Roman" w:hAnsi="Times New Roman"/>
          <w:i/>
          <w:sz w:val="28"/>
          <w:szCs w:val="28"/>
        </w:rPr>
        <w:t>atio</w:t>
      </w:r>
      <w:r w:rsidRPr="005411B1">
        <w:rPr>
          <w:rFonts w:ascii="Times New Roman" w:hAnsi="Times New Roman"/>
          <w:sz w:val="28"/>
          <w:szCs w:val="28"/>
        </w:rPr>
        <w:t xml:space="preserve"> che sta alla base di tale disposizione, cioè non assecondare stime tanto generose, quanto infondate, e collegare in qualche modo i compensi degli stimatori</w:t>
      </w:r>
      <w:r w:rsidR="00432170">
        <w:rPr>
          <w:rFonts w:ascii="Times New Roman" w:hAnsi="Times New Roman"/>
          <w:sz w:val="28"/>
          <w:szCs w:val="28"/>
        </w:rPr>
        <w:t xml:space="preserve"> spettanti per la stima vera e propria, di cui all’art. 13 del D.M. 30.5.2002,</w:t>
      </w:r>
      <w:r w:rsidRPr="005411B1">
        <w:rPr>
          <w:rFonts w:ascii="Times New Roman" w:hAnsi="Times New Roman"/>
          <w:sz w:val="28"/>
          <w:szCs w:val="28"/>
        </w:rPr>
        <w:t xml:space="preserve"> ai risultati effettivi delle vendite perfezionate, merita di essere tenuta nella debita considerazione</w:t>
      </w:r>
      <w:r w:rsidR="00F95927">
        <w:rPr>
          <w:rFonts w:ascii="Times New Roman" w:hAnsi="Times New Roman"/>
          <w:sz w:val="28"/>
          <w:szCs w:val="28"/>
        </w:rPr>
        <w:t xml:space="preserve"> (per le verifiche e  </w:t>
      </w:r>
      <w:r w:rsidR="00F95927" w:rsidRPr="00F95927">
        <w:rPr>
          <w:rFonts w:ascii="Times New Roman" w:hAnsi="Times New Roman"/>
          <w:i/>
          <w:sz w:val="28"/>
          <w:szCs w:val="28"/>
        </w:rPr>
        <w:t>report</w:t>
      </w:r>
      <w:r w:rsidR="00F95927">
        <w:rPr>
          <w:rFonts w:ascii="Times New Roman" w:hAnsi="Times New Roman"/>
          <w:i/>
          <w:sz w:val="28"/>
          <w:szCs w:val="28"/>
        </w:rPr>
        <w:t xml:space="preserve"> </w:t>
      </w:r>
      <w:r w:rsidR="00F95927">
        <w:rPr>
          <w:rFonts w:ascii="Times New Roman" w:hAnsi="Times New Roman"/>
          <w:sz w:val="28"/>
          <w:szCs w:val="28"/>
        </w:rPr>
        <w:t>di cui all’art. 12 del D.M., e per il rimborso delle spese imponibili e non imponibili, la Disposizione citata è  applicabile anche alla sede fallimentare)</w:t>
      </w:r>
      <w:r w:rsidR="00BE0A28">
        <w:rPr>
          <w:rFonts w:ascii="Times New Roman" w:hAnsi="Times New Roman"/>
          <w:sz w:val="28"/>
          <w:szCs w:val="28"/>
        </w:rPr>
        <w:t xml:space="preserve">. </w:t>
      </w:r>
    </w:p>
    <w:p w14:paraId="786A4AFB" w14:textId="2596630E" w:rsidR="00595C3C" w:rsidRPr="005411B1" w:rsidRDefault="00BE0A28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595C3C" w:rsidRPr="005411B1">
        <w:rPr>
          <w:rFonts w:ascii="Times New Roman" w:hAnsi="Times New Roman"/>
          <w:sz w:val="28"/>
          <w:szCs w:val="28"/>
        </w:rPr>
        <w:t xml:space="preserve">er tali ragioni, anziché introdurre </w:t>
      </w:r>
      <w:r w:rsidR="009B7561">
        <w:rPr>
          <w:rFonts w:ascii="Times New Roman" w:hAnsi="Times New Roman"/>
          <w:sz w:val="28"/>
          <w:szCs w:val="28"/>
        </w:rPr>
        <w:t>un</w:t>
      </w:r>
      <w:r w:rsidR="00595C3C" w:rsidRPr="005411B1">
        <w:rPr>
          <w:rFonts w:ascii="Times New Roman" w:hAnsi="Times New Roman"/>
          <w:sz w:val="28"/>
          <w:szCs w:val="28"/>
        </w:rPr>
        <w:t xml:space="preserve"> sistema di liquidazione in acconto ed </w:t>
      </w:r>
      <w:r w:rsidR="00AA5E50">
        <w:rPr>
          <w:rFonts w:ascii="Times New Roman" w:hAnsi="Times New Roman"/>
          <w:sz w:val="28"/>
          <w:szCs w:val="28"/>
        </w:rPr>
        <w:t xml:space="preserve">un </w:t>
      </w:r>
      <w:r w:rsidR="00595C3C" w:rsidRPr="005411B1">
        <w:rPr>
          <w:rFonts w:ascii="Times New Roman" w:hAnsi="Times New Roman"/>
          <w:sz w:val="28"/>
          <w:szCs w:val="28"/>
        </w:rPr>
        <w:t>successiv</w:t>
      </w:r>
      <w:r w:rsidR="00AA5E50">
        <w:rPr>
          <w:rFonts w:ascii="Times New Roman" w:hAnsi="Times New Roman"/>
          <w:sz w:val="28"/>
          <w:szCs w:val="28"/>
        </w:rPr>
        <w:t>o</w:t>
      </w:r>
      <w:r w:rsidR="00595C3C" w:rsidRPr="005411B1">
        <w:rPr>
          <w:rFonts w:ascii="Times New Roman" w:hAnsi="Times New Roman"/>
          <w:sz w:val="28"/>
          <w:szCs w:val="28"/>
        </w:rPr>
        <w:t xml:space="preserve"> saldo alla vendita, </w:t>
      </w:r>
      <w:r w:rsidR="007F50D6">
        <w:rPr>
          <w:rFonts w:ascii="Times New Roman" w:hAnsi="Times New Roman"/>
          <w:sz w:val="28"/>
          <w:szCs w:val="28"/>
        </w:rPr>
        <w:t xml:space="preserve">come nelle espropriazioni individuali, </w:t>
      </w:r>
      <w:r w:rsidR="00595C3C" w:rsidRPr="005411B1">
        <w:rPr>
          <w:rFonts w:ascii="Times New Roman" w:hAnsi="Times New Roman"/>
          <w:sz w:val="28"/>
          <w:szCs w:val="28"/>
        </w:rPr>
        <w:t xml:space="preserve">si può pensare al riconoscimento </w:t>
      </w:r>
      <w:r w:rsidR="00432170">
        <w:rPr>
          <w:rFonts w:ascii="Times New Roman" w:hAnsi="Times New Roman"/>
          <w:sz w:val="28"/>
          <w:szCs w:val="28"/>
        </w:rPr>
        <w:t xml:space="preserve">con l’unica parcella sottoposta a fine incarico </w:t>
      </w:r>
      <w:r w:rsidR="00595C3C" w:rsidRPr="005411B1">
        <w:rPr>
          <w:rFonts w:ascii="Times New Roman" w:hAnsi="Times New Roman"/>
          <w:sz w:val="28"/>
          <w:szCs w:val="28"/>
        </w:rPr>
        <w:t xml:space="preserve">di </w:t>
      </w:r>
      <w:r w:rsidR="00432170">
        <w:rPr>
          <w:rFonts w:ascii="Times New Roman" w:hAnsi="Times New Roman"/>
          <w:sz w:val="28"/>
          <w:szCs w:val="28"/>
        </w:rPr>
        <w:t xml:space="preserve">una </w:t>
      </w:r>
      <w:r w:rsidR="00F95927">
        <w:rPr>
          <w:rFonts w:ascii="Times New Roman" w:hAnsi="Times New Roman"/>
          <w:sz w:val="28"/>
          <w:szCs w:val="28"/>
        </w:rPr>
        <w:t xml:space="preserve">liquidazione per art. 13 </w:t>
      </w:r>
      <w:r w:rsidR="00595C3C" w:rsidRPr="005411B1">
        <w:rPr>
          <w:rFonts w:ascii="Times New Roman" w:hAnsi="Times New Roman"/>
          <w:sz w:val="28"/>
          <w:szCs w:val="28"/>
        </w:rPr>
        <w:t>pari a</w:t>
      </w:r>
      <w:r w:rsidR="00432170">
        <w:rPr>
          <w:rFonts w:ascii="Times New Roman" w:hAnsi="Times New Roman"/>
          <w:sz w:val="28"/>
          <w:szCs w:val="28"/>
        </w:rPr>
        <w:t>l 70%</w:t>
      </w:r>
      <w:r w:rsidR="00595C3C" w:rsidRPr="005411B1">
        <w:rPr>
          <w:rFonts w:ascii="Times New Roman" w:hAnsi="Times New Roman"/>
          <w:sz w:val="28"/>
          <w:szCs w:val="28"/>
        </w:rPr>
        <w:t xml:space="preserve"> </w:t>
      </w:r>
      <w:r w:rsidR="00DA3A01">
        <w:rPr>
          <w:rFonts w:ascii="Times New Roman" w:hAnsi="Times New Roman"/>
          <w:sz w:val="28"/>
          <w:szCs w:val="28"/>
        </w:rPr>
        <w:t xml:space="preserve">del compenso che deriverebbe dall’applicazione </w:t>
      </w:r>
      <w:r w:rsidR="00595C3C" w:rsidRPr="005411B1">
        <w:rPr>
          <w:rFonts w:ascii="Times New Roman" w:hAnsi="Times New Roman"/>
          <w:sz w:val="28"/>
          <w:szCs w:val="28"/>
        </w:rPr>
        <w:t>de</w:t>
      </w:r>
      <w:r w:rsidR="00DA3A01">
        <w:rPr>
          <w:rFonts w:ascii="Times New Roman" w:hAnsi="Times New Roman"/>
          <w:sz w:val="28"/>
          <w:szCs w:val="28"/>
        </w:rPr>
        <w:t xml:space="preserve">lle aliquote </w:t>
      </w:r>
      <w:proofErr w:type="gramStart"/>
      <w:r w:rsidR="00DA3A01">
        <w:rPr>
          <w:rFonts w:ascii="Times New Roman" w:hAnsi="Times New Roman"/>
          <w:sz w:val="28"/>
          <w:szCs w:val="28"/>
        </w:rPr>
        <w:t xml:space="preserve">percentuali </w:t>
      </w:r>
      <w:r w:rsidR="00595C3C" w:rsidRPr="005411B1">
        <w:rPr>
          <w:rFonts w:ascii="Times New Roman" w:hAnsi="Times New Roman"/>
          <w:sz w:val="28"/>
          <w:szCs w:val="28"/>
        </w:rPr>
        <w:t xml:space="preserve"> massim</w:t>
      </w:r>
      <w:r w:rsidR="00DA3A01">
        <w:rPr>
          <w:rFonts w:ascii="Times New Roman" w:hAnsi="Times New Roman"/>
          <w:sz w:val="28"/>
          <w:szCs w:val="28"/>
        </w:rPr>
        <w:t>e</w:t>
      </w:r>
      <w:proofErr w:type="gramEnd"/>
      <w:r w:rsidR="00595C3C" w:rsidRPr="005411B1">
        <w:rPr>
          <w:rFonts w:ascii="Times New Roman" w:hAnsi="Times New Roman"/>
          <w:sz w:val="28"/>
          <w:szCs w:val="28"/>
        </w:rPr>
        <w:t xml:space="preserve"> previst</w:t>
      </w:r>
      <w:r w:rsidR="00DA3A01">
        <w:rPr>
          <w:rFonts w:ascii="Times New Roman" w:hAnsi="Times New Roman"/>
          <w:sz w:val="28"/>
          <w:szCs w:val="28"/>
        </w:rPr>
        <w:t>e</w:t>
      </w:r>
      <w:r w:rsidR="00595C3C" w:rsidRPr="005411B1">
        <w:rPr>
          <w:rFonts w:ascii="Times New Roman" w:hAnsi="Times New Roman"/>
          <w:sz w:val="28"/>
          <w:szCs w:val="28"/>
        </w:rPr>
        <w:t xml:space="preserve"> da</w:t>
      </w:r>
      <w:r w:rsidR="00F95927">
        <w:rPr>
          <w:rFonts w:ascii="Times New Roman" w:hAnsi="Times New Roman"/>
          <w:sz w:val="28"/>
          <w:szCs w:val="28"/>
        </w:rPr>
        <w:t xml:space="preserve"> tale disposizione, </w:t>
      </w:r>
      <w:r w:rsidR="00AA5E50">
        <w:rPr>
          <w:rFonts w:ascii="Times New Roman" w:hAnsi="Times New Roman"/>
          <w:sz w:val="28"/>
          <w:szCs w:val="28"/>
        </w:rPr>
        <w:t xml:space="preserve"> senza decurtazioni ulteriori</w:t>
      </w:r>
      <w:r w:rsidR="00595C3C" w:rsidRPr="005411B1">
        <w:rPr>
          <w:rFonts w:ascii="Times New Roman" w:hAnsi="Times New Roman"/>
          <w:sz w:val="28"/>
          <w:szCs w:val="28"/>
        </w:rPr>
        <w:t>.</w:t>
      </w:r>
    </w:p>
    <w:p w14:paraId="0C05027D" w14:textId="77777777" w:rsidR="00EE03ED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5411B1">
        <w:rPr>
          <w:rFonts w:ascii="Times New Roman" w:hAnsi="Times New Roman"/>
          <w:sz w:val="28"/>
          <w:szCs w:val="28"/>
        </w:rPr>
        <w:t xml:space="preserve">Al momento di sottoporre la richiesta di liquidazione con la documentazione tariffaria </w:t>
      </w:r>
      <w:r w:rsidRPr="005411B1">
        <w:rPr>
          <w:rFonts w:ascii="Times New Roman" w:hAnsi="Times New Roman"/>
          <w:sz w:val="28"/>
          <w:szCs w:val="28"/>
        </w:rPr>
        <w:lastRenderedPageBreak/>
        <w:t>inoltrata dal professionista, che dovrebbe corrispondere in linea di massima ai modelli introdotti con la citata disposizione del dicembre scorso</w:t>
      </w:r>
      <w:r w:rsidR="00AA5E50">
        <w:rPr>
          <w:rFonts w:ascii="Times New Roman" w:hAnsi="Times New Roman"/>
          <w:sz w:val="28"/>
          <w:szCs w:val="28"/>
        </w:rPr>
        <w:t>, il</w:t>
      </w:r>
      <w:r w:rsidR="008B496C">
        <w:rPr>
          <w:rFonts w:ascii="Times New Roman" w:hAnsi="Times New Roman"/>
          <w:sz w:val="28"/>
          <w:szCs w:val="28"/>
        </w:rPr>
        <w:t xml:space="preserve"> </w:t>
      </w:r>
      <w:r w:rsidRPr="005411B1">
        <w:rPr>
          <w:rFonts w:ascii="Times New Roman" w:hAnsi="Times New Roman"/>
          <w:sz w:val="28"/>
          <w:szCs w:val="28"/>
        </w:rPr>
        <w:t>curatore av</w:t>
      </w:r>
      <w:r w:rsidR="00AA5E50">
        <w:rPr>
          <w:rFonts w:ascii="Times New Roman" w:hAnsi="Times New Roman"/>
          <w:sz w:val="28"/>
          <w:szCs w:val="28"/>
        </w:rPr>
        <w:t>rà</w:t>
      </w:r>
      <w:r w:rsidRPr="005411B1">
        <w:rPr>
          <w:rFonts w:ascii="Times New Roman" w:hAnsi="Times New Roman"/>
          <w:sz w:val="28"/>
          <w:szCs w:val="28"/>
        </w:rPr>
        <w:t xml:space="preserve"> cura di precisare l</w:t>
      </w:r>
      <w:r w:rsidR="009B7561">
        <w:rPr>
          <w:rFonts w:ascii="Times New Roman" w:hAnsi="Times New Roman"/>
          <w:sz w:val="28"/>
          <w:szCs w:val="28"/>
        </w:rPr>
        <w:t>’</w:t>
      </w:r>
      <w:r w:rsidRPr="005411B1">
        <w:rPr>
          <w:rFonts w:ascii="Times New Roman" w:hAnsi="Times New Roman"/>
          <w:sz w:val="28"/>
          <w:szCs w:val="28"/>
        </w:rPr>
        <w:t>esito dei tentativi di vendita fino a quel momento realizzati, in modo che sia possibile</w:t>
      </w:r>
      <w:r w:rsidR="008B496C">
        <w:rPr>
          <w:rFonts w:ascii="Times New Roman" w:hAnsi="Times New Roman"/>
          <w:sz w:val="28"/>
          <w:szCs w:val="28"/>
        </w:rPr>
        <w:t xml:space="preserve"> </w:t>
      </w:r>
      <w:r w:rsidR="009B7561">
        <w:rPr>
          <w:rFonts w:ascii="Times New Roman" w:hAnsi="Times New Roman"/>
          <w:sz w:val="28"/>
          <w:szCs w:val="28"/>
        </w:rPr>
        <w:t>un</w:t>
      </w:r>
      <w:r w:rsidRPr="005411B1">
        <w:rPr>
          <w:rFonts w:ascii="Times New Roman" w:hAnsi="Times New Roman"/>
          <w:sz w:val="28"/>
          <w:szCs w:val="28"/>
        </w:rPr>
        <w:t xml:space="preserve"> vaglio anche </w:t>
      </w:r>
      <w:r w:rsidR="009B7561" w:rsidRPr="00F95927">
        <w:rPr>
          <w:rFonts w:ascii="Times New Roman" w:hAnsi="Times New Roman"/>
          <w:i/>
          <w:sz w:val="28"/>
          <w:szCs w:val="28"/>
        </w:rPr>
        <w:t xml:space="preserve">a </w:t>
      </w:r>
      <w:r w:rsidRPr="00F95927">
        <w:rPr>
          <w:rFonts w:ascii="Times New Roman" w:hAnsi="Times New Roman"/>
          <w:i/>
          <w:sz w:val="28"/>
          <w:szCs w:val="28"/>
        </w:rPr>
        <w:t>posteriori</w:t>
      </w:r>
      <w:r w:rsidRPr="005411B1">
        <w:rPr>
          <w:rFonts w:ascii="Times New Roman" w:hAnsi="Times New Roman"/>
          <w:sz w:val="28"/>
          <w:szCs w:val="28"/>
        </w:rPr>
        <w:t xml:space="preserve"> circa la ragionevolezza della stima eseguita dal professionista</w:t>
      </w:r>
      <w:r w:rsidR="00EE03ED">
        <w:rPr>
          <w:rFonts w:ascii="Times New Roman" w:hAnsi="Times New Roman"/>
          <w:sz w:val="28"/>
          <w:szCs w:val="28"/>
        </w:rPr>
        <w:t xml:space="preserve">. </w:t>
      </w:r>
    </w:p>
    <w:p w14:paraId="20CB7845" w14:textId="2175B750" w:rsidR="00595C3C" w:rsidRPr="005411B1" w:rsidRDefault="00EE03ED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scheda informativa in questione, che contiene informazioni che vanno oltre la sola liquidazione dei compensi agli stimatori, risulterà inoltre utile in prospettiva – anto più, ove abbia concreto seguito la costituzione dell’Ufficio per il Processo nella Sezione Esecuzioni e Fallimentare - per analisi e studio delle dinamiche di mercato in rapporto alle vendite forzate, in modo da individuare le forme più proficue di liquidazione dei patrimoni immobiliari delle società assoggettate a procedure concorsuali</w:t>
      </w:r>
      <w:r w:rsidR="00F95927">
        <w:rPr>
          <w:rFonts w:ascii="Times New Roman" w:hAnsi="Times New Roman"/>
          <w:sz w:val="28"/>
          <w:szCs w:val="28"/>
        </w:rPr>
        <w:t>.</w:t>
      </w:r>
    </w:p>
    <w:p w14:paraId="4A89CA59" w14:textId="77777777" w:rsidR="00F95927" w:rsidRDefault="00F95927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8D1B6EC" w14:textId="795975F4" w:rsidR="00595C3C" w:rsidRPr="00BE0A28" w:rsidRDefault="00595C3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 w:rsidRPr="00BE0A28">
        <w:rPr>
          <w:rFonts w:ascii="Times New Roman" w:hAnsi="Times New Roman"/>
          <w:b/>
          <w:sz w:val="28"/>
          <w:szCs w:val="28"/>
        </w:rPr>
        <w:t>Riassumendo</w:t>
      </w:r>
      <w:r w:rsidR="007F50D6">
        <w:rPr>
          <w:rFonts w:ascii="Times New Roman" w:hAnsi="Times New Roman"/>
          <w:b/>
          <w:sz w:val="28"/>
          <w:szCs w:val="28"/>
        </w:rPr>
        <w:t xml:space="preserve"> e</w:t>
      </w:r>
      <w:r w:rsidR="00AA5E50" w:rsidRPr="00BE0A28">
        <w:rPr>
          <w:rFonts w:ascii="Times New Roman" w:hAnsi="Times New Roman"/>
          <w:b/>
          <w:sz w:val="28"/>
          <w:szCs w:val="28"/>
        </w:rPr>
        <w:t xml:space="preserve"> </w:t>
      </w:r>
      <w:r w:rsidR="00BE0A28">
        <w:rPr>
          <w:rFonts w:ascii="Times New Roman" w:hAnsi="Times New Roman"/>
          <w:b/>
          <w:sz w:val="28"/>
          <w:szCs w:val="28"/>
        </w:rPr>
        <w:t>conclusivamente</w:t>
      </w:r>
      <w:r w:rsidR="00AA5E50" w:rsidRPr="00BE0A28">
        <w:rPr>
          <w:rFonts w:ascii="Times New Roman" w:hAnsi="Times New Roman"/>
          <w:b/>
          <w:sz w:val="28"/>
          <w:szCs w:val="28"/>
        </w:rPr>
        <w:t xml:space="preserve">, </w:t>
      </w:r>
      <w:r w:rsidR="007F50D6">
        <w:rPr>
          <w:rFonts w:ascii="Times New Roman" w:hAnsi="Times New Roman"/>
          <w:b/>
          <w:sz w:val="28"/>
          <w:szCs w:val="28"/>
        </w:rPr>
        <w:t xml:space="preserve">fermi restando i poteri e doveri </w:t>
      </w:r>
      <w:r w:rsidR="00F95927">
        <w:rPr>
          <w:rFonts w:ascii="Times New Roman" w:hAnsi="Times New Roman"/>
          <w:b/>
          <w:sz w:val="28"/>
          <w:szCs w:val="28"/>
        </w:rPr>
        <w:t xml:space="preserve">di gestione e controllo </w:t>
      </w:r>
      <w:r w:rsidR="007F50D6">
        <w:rPr>
          <w:rFonts w:ascii="Times New Roman" w:hAnsi="Times New Roman"/>
          <w:b/>
          <w:sz w:val="28"/>
          <w:szCs w:val="28"/>
        </w:rPr>
        <w:t xml:space="preserve">della curatela previsti negli artt. 104 ter e 107 L. </w:t>
      </w:r>
      <w:proofErr w:type="spellStart"/>
      <w:proofErr w:type="gramStart"/>
      <w:r w:rsidR="007F50D6">
        <w:rPr>
          <w:rFonts w:ascii="Times New Roman" w:hAnsi="Times New Roman"/>
          <w:b/>
          <w:sz w:val="28"/>
          <w:szCs w:val="28"/>
        </w:rPr>
        <w:t>Fallim</w:t>
      </w:r>
      <w:proofErr w:type="spellEnd"/>
      <w:r w:rsidR="007F50D6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7F50D6">
        <w:rPr>
          <w:rFonts w:ascii="Times New Roman" w:hAnsi="Times New Roman"/>
          <w:b/>
          <w:sz w:val="28"/>
          <w:szCs w:val="28"/>
        </w:rPr>
        <w:t xml:space="preserve">  </w:t>
      </w:r>
      <w:r w:rsidR="00AA5E50" w:rsidRPr="00BE0A28">
        <w:rPr>
          <w:rFonts w:ascii="Times New Roman" w:hAnsi="Times New Roman"/>
          <w:b/>
          <w:sz w:val="28"/>
          <w:szCs w:val="28"/>
        </w:rPr>
        <w:t>si richiedono</w:t>
      </w:r>
      <w:r w:rsidRPr="00BE0A28">
        <w:rPr>
          <w:rFonts w:ascii="Times New Roman" w:hAnsi="Times New Roman"/>
          <w:b/>
          <w:sz w:val="28"/>
          <w:szCs w:val="28"/>
        </w:rPr>
        <w:t xml:space="preserve"> ai curatori fallimentari i seguenti adempimenti</w:t>
      </w:r>
      <w:r w:rsidR="007F50D6">
        <w:rPr>
          <w:rFonts w:ascii="Times New Roman" w:hAnsi="Times New Roman"/>
          <w:b/>
          <w:sz w:val="28"/>
          <w:szCs w:val="28"/>
        </w:rPr>
        <w:t xml:space="preserve">, nel momento in cui si intraprende il percorso liquidatorio </w:t>
      </w:r>
      <w:r w:rsidR="00086A61">
        <w:rPr>
          <w:rFonts w:ascii="Times New Roman" w:hAnsi="Times New Roman"/>
          <w:b/>
          <w:sz w:val="28"/>
          <w:szCs w:val="28"/>
        </w:rPr>
        <w:t>relativo a beni immobili</w:t>
      </w:r>
      <w:r w:rsidRPr="00BE0A28">
        <w:rPr>
          <w:rFonts w:ascii="Times New Roman" w:hAnsi="Times New Roman"/>
          <w:b/>
          <w:sz w:val="28"/>
          <w:szCs w:val="28"/>
        </w:rPr>
        <w:t>:</w:t>
      </w:r>
    </w:p>
    <w:p w14:paraId="4940EEED" w14:textId="1872306D" w:rsidR="007F50D6" w:rsidRPr="00BE0A28" w:rsidRDefault="007F50D6" w:rsidP="008019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E0A28">
        <w:rPr>
          <w:rFonts w:ascii="Times New Roman" w:hAnsi="Times New Roman"/>
          <w:b/>
          <w:sz w:val="28"/>
          <w:szCs w:val="28"/>
        </w:rPr>
        <w:t>conferimento</w:t>
      </w:r>
      <w:proofErr w:type="gramEnd"/>
      <w:r w:rsidRPr="00BE0A28">
        <w:rPr>
          <w:rFonts w:ascii="Times New Roman" w:hAnsi="Times New Roman"/>
          <w:b/>
          <w:sz w:val="28"/>
          <w:szCs w:val="28"/>
        </w:rPr>
        <w:t xml:space="preserve"> di incarico professionale con assegnazione di quesito estimatorio </w:t>
      </w:r>
      <w:r w:rsidR="00F95927">
        <w:rPr>
          <w:rFonts w:ascii="Times New Roman" w:hAnsi="Times New Roman"/>
          <w:b/>
          <w:sz w:val="28"/>
          <w:szCs w:val="28"/>
        </w:rPr>
        <w:t xml:space="preserve">identico </w:t>
      </w:r>
      <w:r w:rsidRPr="00BE0A28">
        <w:rPr>
          <w:rFonts w:ascii="Times New Roman" w:hAnsi="Times New Roman"/>
          <w:b/>
          <w:sz w:val="28"/>
          <w:szCs w:val="28"/>
        </w:rPr>
        <w:t xml:space="preserve"> a quello predisposto dalla Sezione il 24 gennaio 2019 per le stime immobiliari nell</w:t>
      </w:r>
      <w:r w:rsidR="00F95927">
        <w:rPr>
          <w:rFonts w:ascii="Times New Roman" w:hAnsi="Times New Roman"/>
          <w:b/>
          <w:sz w:val="28"/>
          <w:szCs w:val="28"/>
        </w:rPr>
        <w:t xml:space="preserve">e </w:t>
      </w:r>
      <w:r w:rsidRPr="00BE0A28">
        <w:rPr>
          <w:rFonts w:ascii="Times New Roman" w:hAnsi="Times New Roman"/>
          <w:b/>
          <w:sz w:val="28"/>
          <w:szCs w:val="28"/>
        </w:rPr>
        <w:t>esecuzion</w:t>
      </w:r>
      <w:r w:rsidR="00F95927">
        <w:rPr>
          <w:rFonts w:ascii="Times New Roman" w:hAnsi="Times New Roman"/>
          <w:b/>
          <w:sz w:val="28"/>
          <w:szCs w:val="28"/>
        </w:rPr>
        <w:t>i</w:t>
      </w:r>
      <w:r w:rsidRPr="00BE0A28">
        <w:rPr>
          <w:rFonts w:ascii="Times New Roman" w:hAnsi="Times New Roman"/>
          <w:b/>
          <w:sz w:val="28"/>
          <w:szCs w:val="28"/>
        </w:rPr>
        <w:t xml:space="preserve"> individuali (“quesito tipo”);</w:t>
      </w:r>
    </w:p>
    <w:p w14:paraId="5B1ACEB1" w14:textId="27E1D2AE" w:rsidR="007F50D6" w:rsidRDefault="007F50D6" w:rsidP="008019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b/>
          <w:sz w:val="28"/>
          <w:szCs w:val="28"/>
        </w:rPr>
      </w:pPr>
      <w:r w:rsidRPr="00BE0A28">
        <w:rPr>
          <w:rFonts w:ascii="Times New Roman" w:hAnsi="Times New Roman"/>
          <w:b/>
          <w:sz w:val="28"/>
          <w:szCs w:val="28"/>
        </w:rPr>
        <w:t xml:space="preserve"> stipulazione per iscritto dell’incarico professionale con precisa evidenziazione dei compensi da riconoscere a conclusione dell’incarico: da collegarsi </w:t>
      </w:r>
      <w:r>
        <w:rPr>
          <w:rFonts w:ascii="Times New Roman" w:hAnsi="Times New Roman"/>
          <w:b/>
          <w:sz w:val="28"/>
          <w:szCs w:val="28"/>
        </w:rPr>
        <w:t xml:space="preserve">preferibilmente </w:t>
      </w:r>
      <w:r w:rsidRPr="00BE0A28">
        <w:rPr>
          <w:rFonts w:ascii="Times New Roman" w:hAnsi="Times New Roman"/>
          <w:b/>
          <w:sz w:val="28"/>
          <w:szCs w:val="28"/>
        </w:rPr>
        <w:t xml:space="preserve">ai parametri liquidatori di cui al D.M. 30 maggio 2002, </w:t>
      </w:r>
      <w:r w:rsidR="00DA3A01">
        <w:rPr>
          <w:rFonts w:ascii="Times New Roman" w:hAnsi="Times New Roman"/>
          <w:b/>
          <w:sz w:val="28"/>
          <w:szCs w:val="28"/>
        </w:rPr>
        <w:t xml:space="preserve">come da Disposizione Organizzativa n. 25 del 2021 per i compensi dell’art. 12 ed i rimborsi di spese, </w:t>
      </w:r>
      <w:r w:rsidRPr="00BE0A28">
        <w:rPr>
          <w:rFonts w:ascii="Times New Roman" w:hAnsi="Times New Roman"/>
          <w:b/>
          <w:sz w:val="28"/>
          <w:szCs w:val="28"/>
        </w:rPr>
        <w:t xml:space="preserve">con il correttivo </w:t>
      </w:r>
      <w:r w:rsidR="00DA3A01">
        <w:rPr>
          <w:rFonts w:ascii="Times New Roman" w:hAnsi="Times New Roman"/>
          <w:b/>
          <w:sz w:val="28"/>
          <w:szCs w:val="28"/>
        </w:rPr>
        <w:t xml:space="preserve">– per i compensi di cui all’art. 13 di detta fonte regolamentare - </w:t>
      </w:r>
      <w:r w:rsidRPr="00BE0A28">
        <w:rPr>
          <w:rFonts w:ascii="Times New Roman" w:hAnsi="Times New Roman"/>
          <w:b/>
          <w:sz w:val="28"/>
          <w:szCs w:val="28"/>
        </w:rPr>
        <w:t>de</w:t>
      </w:r>
      <w:r w:rsidR="00DA3A01">
        <w:rPr>
          <w:rFonts w:ascii="Times New Roman" w:hAnsi="Times New Roman"/>
          <w:b/>
          <w:sz w:val="28"/>
          <w:szCs w:val="28"/>
        </w:rPr>
        <w:t>l riconoscimento de</w:t>
      </w:r>
      <w:r w:rsidRPr="00BE0A28">
        <w:rPr>
          <w:rFonts w:ascii="Times New Roman" w:hAnsi="Times New Roman"/>
          <w:b/>
          <w:sz w:val="28"/>
          <w:szCs w:val="28"/>
        </w:rPr>
        <w:t>i 2/3 del</w:t>
      </w:r>
      <w:r w:rsidR="00DA3A01">
        <w:rPr>
          <w:rFonts w:ascii="Times New Roman" w:hAnsi="Times New Roman"/>
          <w:b/>
          <w:sz w:val="28"/>
          <w:szCs w:val="28"/>
        </w:rPr>
        <w:t>l’importo derivante dall’applicazione delle aliquote percentuali massime;</w:t>
      </w:r>
    </w:p>
    <w:p w14:paraId="3C27C701" w14:textId="2D9EB869" w:rsidR="00BB6B1F" w:rsidRDefault="008019BD" w:rsidP="008019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b/>
          <w:sz w:val="28"/>
          <w:szCs w:val="28"/>
        </w:rPr>
      </w:pPr>
      <w:r w:rsidRPr="00BE0A28">
        <w:rPr>
          <w:rFonts w:ascii="Times New Roman" w:hAnsi="Times New Roman"/>
          <w:b/>
          <w:sz w:val="28"/>
          <w:szCs w:val="28"/>
        </w:rPr>
        <w:t>P</w:t>
      </w:r>
      <w:r w:rsidR="00595C3C" w:rsidRPr="00BE0A28">
        <w:rPr>
          <w:rFonts w:ascii="Times New Roman" w:hAnsi="Times New Roman"/>
          <w:b/>
          <w:sz w:val="28"/>
          <w:szCs w:val="28"/>
        </w:rPr>
        <w:t>redisposizione</w:t>
      </w:r>
      <w:r>
        <w:rPr>
          <w:rFonts w:ascii="Times New Roman" w:hAnsi="Times New Roman"/>
          <w:b/>
          <w:sz w:val="28"/>
          <w:szCs w:val="28"/>
        </w:rPr>
        <w:t>,</w:t>
      </w:r>
      <w:r w:rsidR="007F50D6">
        <w:rPr>
          <w:rFonts w:ascii="Times New Roman" w:hAnsi="Times New Roman"/>
          <w:b/>
          <w:sz w:val="28"/>
          <w:szCs w:val="28"/>
        </w:rPr>
        <w:t xml:space="preserve"> unitamente al Programma di liquidazione o al momento di richiesta di autorizzazione alla vendita</w:t>
      </w:r>
      <w:r>
        <w:rPr>
          <w:rFonts w:ascii="Times New Roman" w:hAnsi="Times New Roman"/>
          <w:b/>
          <w:sz w:val="28"/>
          <w:szCs w:val="28"/>
        </w:rPr>
        <w:t>,</w:t>
      </w:r>
      <w:r w:rsidR="007F50D6">
        <w:rPr>
          <w:rFonts w:ascii="Times New Roman" w:hAnsi="Times New Roman"/>
          <w:b/>
          <w:sz w:val="28"/>
          <w:szCs w:val="28"/>
        </w:rPr>
        <w:t xml:space="preserve"> </w:t>
      </w:r>
      <w:r w:rsidR="00595C3C" w:rsidRPr="00BE0A28">
        <w:rPr>
          <w:rFonts w:ascii="Times New Roman" w:hAnsi="Times New Roman"/>
          <w:b/>
          <w:sz w:val="28"/>
          <w:szCs w:val="28"/>
        </w:rPr>
        <w:t xml:space="preserve">di </w:t>
      </w:r>
      <w:r w:rsidR="009B7561" w:rsidRPr="00BE0A28">
        <w:rPr>
          <w:rFonts w:ascii="Times New Roman" w:hAnsi="Times New Roman"/>
          <w:b/>
          <w:sz w:val="28"/>
          <w:szCs w:val="28"/>
        </w:rPr>
        <w:t>un</w:t>
      </w:r>
      <w:r w:rsidR="00595C3C" w:rsidRPr="00BE0A28">
        <w:rPr>
          <w:rFonts w:ascii="Times New Roman" w:hAnsi="Times New Roman"/>
          <w:b/>
          <w:sz w:val="28"/>
          <w:szCs w:val="28"/>
        </w:rPr>
        <w:t xml:space="preserve"> </w:t>
      </w:r>
      <w:r w:rsidR="009B7561" w:rsidRPr="00BE0A28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="00595C3C" w:rsidRPr="00BE0A28">
        <w:rPr>
          <w:rFonts w:ascii="Times New Roman" w:hAnsi="Times New Roman"/>
          <w:b/>
          <w:sz w:val="28"/>
          <w:szCs w:val="28"/>
        </w:rPr>
        <w:t>sottofascicolo</w:t>
      </w:r>
      <w:proofErr w:type="spellEnd"/>
      <w:r w:rsidR="009B7561" w:rsidRPr="00BE0A28">
        <w:rPr>
          <w:rFonts w:ascii="Times New Roman" w:hAnsi="Times New Roman"/>
          <w:b/>
          <w:sz w:val="28"/>
          <w:szCs w:val="28"/>
        </w:rPr>
        <w:t xml:space="preserve">” </w:t>
      </w:r>
      <w:r w:rsidR="00BB6B1F">
        <w:rPr>
          <w:rFonts w:ascii="Times New Roman" w:hAnsi="Times New Roman"/>
          <w:b/>
          <w:sz w:val="28"/>
          <w:szCs w:val="28"/>
        </w:rPr>
        <w:t xml:space="preserve">informatico </w:t>
      </w:r>
      <w:r w:rsidR="00595C3C" w:rsidRPr="00BE0A28">
        <w:rPr>
          <w:rFonts w:ascii="Times New Roman" w:hAnsi="Times New Roman"/>
          <w:b/>
          <w:sz w:val="28"/>
          <w:szCs w:val="28"/>
        </w:rPr>
        <w:t>contenente</w:t>
      </w:r>
      <w:r w:rsidR="00BB6B1F">
        <w:rPr>
          <w:rFonts w:ascii="Times New Roman" w:hAnsi="Times New Roman"/>
          <w:b/>
          <w:sz w:val="28"/>
          <w:szCs w:val="28"/>
        </w:rPr>
        <w:t>: a) at</w:t>
      </w:r>
      <w:r w:rsidR="00F95927">
        <w:rPr>
          <w:rFonts w:ascii="Times New Roman" w:hAnsi="Times New Roman"/>
          <w:b/>
          <w:sz w:val="28"/>
          <w:szCs w:val="28"/>
        </w:rPr>
        <w:t>te</w:t>
      </w:r>
      <w:r w:rsidR="00BB6B1F">
        <w:rPr>
          <w:rFonts w:ascii="Times New Roman" w:hAnsi="Times New Roman"/>
          <w:b/>
          <w:sz w:val="28"/>
          <w:szCs w:val="28"/>
        </w:rPr>
        <w:t>stazione d</w:t>
      </w:r>
      <w:r w:rsidR="00F95927">
        <w:rPr>
          <w:rFonts w:ascii="Times New Roman" w:hAnsi="Times New Roman"/>
          <w:b/>
          <w:sz w:val="28"/>
          <w:szCs w:val="28"/>
        </w:rPr>
        <w:t>el curatore d</w:t>
      </w:r>
      <w:r w:rsidR="00BB6B1F">
        <w:rPr>
          <w:rFonts w:ascii="Times New Roman" w:hAnsi="Times New Roman"/>
          <w:b/>
          <w:sz w:val="28"/>
          <w:szCs w:val="28"/>
        </w:rPr>
        <w:t xml:space="preserve">i aver eseguito i controlli di proprietà </w:t>
      </w:r>
      <w:r w:rsidR="00F95927">
        <w:rPr>
          <w:rFonts w:ascii="Times New Roman" w:hAnsi="Times New Roman"/>
          <w:b/>
          <w:sz w:val="28"/>
          <w:szCs w:val="28"/>
        </w:rPr>
        <w:t>e cedibilità del bene</w:t>
      </w:r>
      <w:r w:rsidR="00BB6B1F">
        <w:rPr>
          <w:rFonts w:ascii="Times New Roman" w:hAnsi="Times New Roman"/>
          <w:b/>
          <w:sz w:val="28"/>
          <w:szCs w:val="28"/>
        </w:rPr>
        <w:t>; b) documentazione dimostrante la proprietà e commerciabilità del bene (preferibilmente: relazione notarile o attestazione di altro ido</w:t>
      </w:r>
      <w:r w:rsidR="00F95927">
        <w:rPr>
          <w:rFonts w:ascii="Times New Roman" w:hAnsi="Times New Roman"/>
          <w:b/>
          <w:sz w:val="28"/>
          <w:szCs w:val="28"/>
        </w:rPr>
        <w:t>ne</w:t>
      </w:r>
      <w:r w:rsidR="00BB6B1F">
        <w:rPr>
          <w:rFonts w:ascii="Times New Roman" w:hAnsi="Times New Roman"/>
          <w:b/>
          <w:sz w:val="28"/>
          <w:szCs w:val="28"/>
        </w:rPr>
        <w:t xml:space="preserve">o professionista); c) relazione di stima redatta secondo </w:t>
      </w:r>
      <w:r>
        <w:rPr>
          <w:rFonts w:ascii="Times New Roman" w:hAnsi="Times New Roman"/>
          <w:b/>
          <w:sz w:val="28"/>
          <w:szCs w:val="28"/>
        </w:rPr>
        <w:t>il quesito-tipo</w:t>
      </w:r>
      <w:r w:rsidR="00BB6B1F">
        <w:rPr>
          <w:rFonts w:ascii="Times New Roman" w:hAnsi="Times New Roman"/>
          <w:b/>
          <w:sz w:val="28"/>
          <w:szCs w:val="28"/>
        </w:rPr>
        <w:t xml:space="preserve"> indicato al punto 1);</w:t>
      </w:r>
    </w:p>
    <w:p w14:paraId="5150122A" w14:textId="2A3A3F13" w:rsidR="001E52B6" w:rsidRDefault="00BB6B1F" w:rsidP="008019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sottoposizione,  al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momento della liquidazione dei compensi richiesi dal perito, di attestazione di conformità della notula al preventivo e di </w:t>
      </w:r>
      <w:r w:rsidR="001E52B6">
        <w:rPr>
          <w:rFonts w:ascii="Times New Roman" w:hAnsi="Times New Roman"/>
          <w:b/>
          <w:sz w:val="28"/>
          <w:szCs w:val="28"/>
        </w:rPr>
        <w:t xml:space="preserve">capienza della massa fallimentare </w:t>
      </w:r>
      <w:r>
        <w:rPr>
          <w:rFonts w:ascii="Times New Roman" w:hAnsi="Times New Roman"/>
          <w:b/>
          <w:sz w:val="28"/>
          <w:szCs w:val="28"/>
        </w:rPr>
        <w:t xml:space="preserve">per il pagamento in </w:t>
      </w:r>
      <w:proofErr w:type="spellStart"/>
      <w:r>
        <w:rPr>
          <w:rFonts w:ascii="Times New Roman" w:hAnsi="Times New Roman"/>
          <w:b/>
          <w:sz w:val="28"/>
          <w:szCs w:val="28"/>
        </w:rPr>
        <w:t>prededuzione</w:t>
      </w:r>
      <w:proofErr w:type="spellEnd"/>
      <w:r w:rsidR="001E52B6">
        <w:rPr>
          <w:rFonts w:ascii="Times New Roman" w:hAnsi="Times New Roman"/>
          <w:b/>
          <w:sz w:val="28"/>
          <w:szCs w:val="28"/>
        </w:rPr>
        <w:t>, corredata dal parere favorevole del Comitato de</w:t>
      </w:r>
      <w:r w:rsidR="00533D31">
        <w:rPr>
          <w:rFonts w:ascii="Times New Roman" w:hAnsi="Times New Roman"/>
          <w:b/>
          <w:sz w:val="28"/>
          <w:szCs w:val="28"/>
        </w:rPr>
        <w:t>i Creditori (quando costituito)</w:t>
      </w:r>
      <w:r w:rsidR="00DA3A01">
        <w:rPr>
          <w:rFonts w:ascii="Times New Roman" w:hAnsi="Times New Roman"/>
          <w:b/>
          <w:sz w:val="28"/>
          <w:szCs w:val="28"/>
        </w:rPr>
        <w:t xml:space="preserve"> per il caso di pagamento al di fuori dai riparti (art. 111bis, co.2, L. </w:t>
      </w:r>
      <w:proofErr w:type="spellStart"/>
      <w:r w:rsidR="00DA3A01">
        <w:rPr>
          <w:rFonts w:ascii="Times New Roman" w:hAnsi="Times New Roman"/>
          <w:b/>
          <w:sz w:val="28"/>
          <w:szCs w:val="28"/>
        </w:rPr>
        <w:t>Fallim</w:t>
      </w:r>
      <w:proofErr w:type="spellEnd"/>
      <w:r w:rsidR="00DA3A01">
        <w:rPr>
          <w:rFonts w:ascii="Times New Roman" w:hAnsi="Times New Roman"/>
          <w:b/>
          <w:sz w:val="28"/>
          <w:szCs w:val="28"/>
        </w:rPr>
        <w:t>.)</w:t>
      </w:r>
      <w:r w:rsidR="00533D31">
        <w:rPr>
          <w:rFonts w:ascii="Times New Roman" w:hAnsi="Times New Roman"/>
          <w:b/>
          <w:sz w:val="28"/>
          <w:szCs w:val="28"/>
        </w:rPr>
        <w:t>;</w:t>
      </w:r>
    </w:p>
    <w:p w14:paraId="5AB4585F" w14:textId="68B0A43F" w:rsidR="00F30C10" w:rsidRDefault="00086A61" w:rsidP="008019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compilazione</w:t>
      </w:r>
      <w:proofErr w:type="gramEnd"/>
      <w:r>
        <w:rPr>
          <w:rFonts w:ascii="Times New Roman" w:hAnsi="Times New Roman"/>
          <w:b/>
          <w:sz w:val="28"/>
          <w:szCs w:val="28"/>
        </w:rPr>
        <w:t>, u</w:t>
      </w:r>
      <w:r w:rsidR="00533D31">
        <w:rPr>
          <w:rFonts w:ascii="Times New Roman" w:hAnsi="Times New Roman"/>
          <w:b/>
          <w:sz w:val="28"/>
          <w:szCs w:val="28"/>
        </w:rPr>
        <w:t xml:space="preserve">na volta perfezionata la vendita, </w:t>
      </w:r>
      <w:r>
        <w:rPr>
          <w:rFonts w:ascii="Times New Roman" w:hAnsi="Times New Roman"/>
          <w:b/>
          <w:sz w:val="28"/>
          <w:szCs w:val="28"/>
        </w:rPr>
        <w:t xml:space="preserve">di una </w:t>
      </w:r>
      <w:r w:rsidR="00533D31">
        <w:rPr>
          <w:rFonts w:ascii="Times New Roman" w:hAnsi="Times New Roman"/>
          <w:b/>
          <w:sz w:val="28"/>
          <w:szCs w:val="28"/>
        </w:rPr>
        <w:t>scheda riassuntiva</w:t>
      </w:r>
      <w:r>
        <w:rPr>
          <w:rFonts w:ascii="Times New Roman" w:hAnsi="Times New Roman"/>
          <w:b/>
          <w:sz w:val="28"/>
          <w:szCs w:val="28"/>
        </w:rPr>
        <w:t xml:space="preserve"> della vendita</w:t>
      </w:r>
      <w:r w:rsidR="00BB6B1F">
        <w:rPr>
          <w:rFonts w:ascii="Times New Roman" w:hAnsi="Times New Roman"/>
          <w:b/>
          <w:sz w:val="28"/>
          <w:szCs w:val="28"/>
        </w:rPr>
        <w:t>, come da modello allegato,</w:t>
      </w:r>
      <w:r w:rsidR="00533D31">
        <w:rPr>
          <w:rFonts w:ascii="Times New Roman" w:hAnsi="Times New Roman"/>
          <w:b/>
          <w:sz w:val="28"/>
          <w:szCs w:val="28"/>
        </w:rPr>
        <w:t xml:space="preserve"> dando conto: del valore di stima</w:t>
      </w:r>
      <w:r w:rsidR="00BB6B1F">
        <w:rPr>
          <w:rFonts w:ascii="Times New Roman" w:hAnsi="Times New Roman"/>
          <w:b/>
          <w:sz w:val="28"/>
          <w:szCs w:val="28"/>
        </w:rPr>
        <w:t xml:space="preserve">; </w:t>
      </w:r>
      <w:r w:rsidR="00BB6B1F">
        <w:rPr>
          <w:rFonts w:ascii="Times New Roman" w:hAnsi="Times New Roman"/>
          <w:b/>
          <w:sz w:val="28"/>
          <w:szCs w:val="28"/>
        </w:rPr>
        <w:lastRenderedPageBreak/>
        <w:t xml:space="preserve">del corrispettivo </w:t>
      </w:r>
      <w:r w:rsidR="00533D31">
        <w:rPr>
          <w:rFonts w:ascii="Times New Roman" w:hAnsi="Times New Roman"/>
          <w:b/>
          <w:sz w:val="28"/>
          <w:szCs w:val="28"/>
        </w:rPr>
        <w:t>di vendita; del numero di tentativi di vendita prima dell’aggiudicazione; del compenso corrisposto allo stimatore</w:t>
      </w:r>
      <w:r w:rsidR="00F30C10">
        <w:rPr>
          <w:rFonts w:ascii="Times New Roman" w:hAnsi="Times New Roman"/>
          <w:b/>
          <w:sz w:val="28"/>
          <w:szCs w:val="28"/>
        </w:rPr>
        <w:t>;</w:t>
      </w:r>
    </w:p>
    <w:p w14:paraId="646509D3" w14:textId="045C4E78" w:rsidR="00F30C10" w:rsidRDefault="00086A61" w:rsidP="008019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inoltro</w:t>
      </w:r>
      <w:proofErr w:type="gramEnd"/>
      <w:r>
        <w:rPr>
          <w:rFonts w:ascii="Times New Roman" w:hAnsi="Times New Roman"/>
          <w:b/>
          <w:sz w:val="28"/>
          <w:szCs w:val="28"/>
        </w:rPr>
        <w:t>, unitamente all</w:t>
      </w:r>
      <w:r w:rsidR="00F30C10">
        <w:rPr>
          <w:rFonts w:ascii="Times New Roman" w:hAnsi="Times New Roman"/>
          <w:b/>
          <w:sz w:val="28"/>
          <w:szCs w:val="28"/>
        </w:rPr>
        <w:t>a precedente scheda</w:t>
      </w:r>
      <w:r>
        <w:rPr>
          <w:rFonts w:ascii="Times New Roman" w:hAnsi="Times New Roman"/>
          <w:b/>
          <w:sz w:val="28"/>
          <w:szCs w:val="28"/>
        </w:rPr>
        <w:t>, della m</w:t>
      </w:r>
      <w:r w:rsidR="00F30C10">
        <w:rPr>
          <w:rFonts w:ascii="Times New Roman" w:hAnsi="Times New Roman"/>
          <w:b/>
          <w:sz w:val="28"/>
          <w:szCs w:val="28"/>
        </w:rPr>
        <w:t>in</w:t>
      </w:r>
      <w:r w:rsidR="00F95927">
        <w:rPr>
          <w:rFonts w:ascii="Times New Roman" w:hAnsi="Times New Roman"/>
          <w:b/>
          <w:sz w:val="28"/>
          <w:szCs w:val="28"/>
        </w:rPr>
        <w:t>u</w:t>
      </w:r>
      <w:r w:rsidR="00F30C10">
        <w:rPr>
          <w:rFonts w:ascii="Times New Roman" w:hAnsi="Times New Roman"/>
          <w:b/>
          <w:sz w:val="28"/>
          <w:szCs w:val="28"/>
        </w:rPr>
        <w:t xml:space="preserve">ta </w:t>
      </w:r>
      <w:r w:rsidR="00F95927">
        <w:rPr>
          <w:rFonts w:ascii="Times New Roman" w:hAnsi="Times New Roman"/>
          <w:b/>
          <w:sz w:val="28"/>
          <w:szCs w:val="28"/>
        </w:rPr>
        <w:t xml:space="preserve">in formato word </w:t>
      </w:r>
      <w:r w:rsidR="00F30C10">
        <w:rPr>
          <w:rFonts w:ascii="Times New Roman" w:hAnsi="Times New Roman"/>
          <w:b/>
          <w:sz w:val="28"/>
          <w:szCs w:val="28"/>
        </w:rPr>
        <w:t xml:space="preserve">del decreto di trasferimento, nei casi in cui il </w:t>
      </w:r>
      <w:proofErr w:type="spellStart"/>
      <w:r w:rsidR="00F30C10">
        <w:rPr>
          <w:rFonts w:ascii="Times New Roman" w:hAnsi="Times New Roman"/>
          <w:b/>
          <w:sz w:val="28"/>
          <w:szCs w:val="28"/>
        </w:rPr>
        <w:t>PdL</w:t>
      </w:r>
      <w:proofErr w:type="spellEnd"/>
      <w:r w:rsidR="00F30C10">
        <w:rPr>
          <w:rFonts w:ascii="Times New Roman" w:hAnsi="Times New Roman"/>
          <w:b/>
          <w:sz w:val="28"/>
          <w:szCs w:val="28"/>
        </w:rPr>
        <w:t xml:space="preserve"> preveda tale provvedimento traslativo: per il qual caso, si rinvia alle Disposizioni Organizzative </w:t>
      </w:r>
      <w:proofErr w:type="spellStart"/>
      <w:r w:rsidR="00F30C10">
        <w:rPr>
          <w:rFonts w:ascii="Times New Roman" w:hAnsi="Times New Roman"/>
          <w:b/>
          <w:sz w:val="28"/>
          <w:szCs w:val="28"/>
        </w:rPr>
        <w:t>nn</w:t>
      </w:r>
      <w:proofErr w:type="spellEnd"/>
      <w:r w:rsidR="00F30C10">
        <w:rPr>
          <w:rFonts w:ascii="Times New Roman" w:hAnsi="Times New Roman"/>
          <w:b/>
          <w:sz w:val="28"/>
          <w:szCs w:val="28"/>
        </w:rPr>
        <w:t xml:space="preserve">. 15 del 2020 e 15 del 2021, onde i curatori vi si conformino. </w:t>
      </w:r>
      <w:r>
        <w:rPr>
          <w:rFonts w:ascii="Times New Roman" w:hAnsi="Times New Roman"/>
          <w:b/>
          <w:sz w:val="28"/>
          <w:szCs w:val="28"/>
        </w:rPr>
        <w:t xml:space="preserve">Nel diverso caso di trasferimento a mezzo rogito notarile, va inoltrata la minuta in formato word editabile del decreto di </w:t>
      </w:r>
      <w:r w:rsidR="00F30C10">
        <w:rPr>
          <w:rFonts w:ascii="Times New Roman" w:hAnsi="Times New Roman"/>
          <w:b/>
          <w:sz w:val="28"/>
          <w:szCs w:val="28"/>
        </w:rPr>
        <w:t>cancellazione delle iscrizioni/trasc</w:t>
      </w:r>
      <w:r>
        <w:rPr>
          <w:rFonts w:ascii="Times New Roman" w:hAnsi="Times New Roman"/>
          <w:b/>
          <w:sz w:val="28"/>
          <w:szCs w:val="28"/>
        </w:rPr>
        <w:t xml:space="preserve">rizioni ex art. 108 L. </w:t>
      </w:r>
      <w:proofErr w:type="spellStart"/>
      <w:r>
        <w:rPr>
          <w:rFonts w:ascii="Times New Roman" w:hAnsi="Times New Roman"/>
          <w:b/>
          <w:sz w:val="28"/>
          <w:szCs w:val="28"/>
        </w:rPr>
        <w:t>Fallim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32510B26" w14:textId="6B85AE8E" w:rsidR="00533D31" w:rsidRPr="00BE0A28" w:rsidRDefault="00533D31" w:rsidP="008019BD">
      <w:pPr>
        <w:widowControl w:val="0"/>
        <w:autoSpaceDE w:val="0"/>
        <w:autoSpaceDN w:val="0"/>
        <w:adjustRightInd w:val="0"/>
        <w:spacing w:after="0" w:line="240" w:lineRule="auto"/>
        <w:ind w:left="1571" w:right="474"/>
        <w:jc w:val="both"/>
        <w:rPr>
          <w:rFonts w:ascii="Times New Roman" w:hAnsi="Times New Roman"/>
          <w:b/>
          <w:sz w:val="28"/>
          <w:szCs w:val="28"/>
        </w:rPr>
      </w:pPr>
    </w:p>
    <w:p w14:paraId="1CEE9A3E" w14:textId="22D7F22B" w:rsidR="00595C3C" w:rsidRPr="00BE0A28" w:rsidRDefault="00AA5E50" w:rsidP="008019BD">
      <w:pPr>
        <w:widowControl w:val="0"/>
        <w:autoSpaceDE w:val="0"/>
        <w:autoSpaceDN w:val="0"/>
        <w:adjustRightInd w:val="0"/>
        <w:spacing w:after="0" w:line="240" w:lineRule="auto"/>
        <w:ind w:left="491" w:right="474" w:firstLine="720"/>
        <w:jc w:val="both"/>
        <w:rPr>
          <w:rFonts w:ascii="Times New Roman" w:hAnsi="Times New Roman"/>
          <w:b/>
          <w:sz w:val="28"/>
          <w:szCs w:val="28"/>
        </w:rPr>
      </w:pPr>
      <w:r w:rsidRPr="00BE0A28">
        <w:rPr>
          <w:rFonts w:ascii="Times New Roman" w:hAnsi="Times New Roman"/>
          <w:b/>
          <w:sz w:val="28"/>
          <w:szCs w:val="28"/>
        </w:rPr>
        <w:t>Si raccomanda la precisa osservanza delle disposizioni così impartite.</w:t>
      </w:r>
    </w:p>
    <w:p w14:paraId="08A001D6" w14:textId="63EF2E4C" w:rsidR="00595C3C" w:rsidRDefault="00DA3A01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Il Presidente di Sezione</w:t>
      </w:r>
    </w:p>
    <w:p w14:paraId="17927334" w14:textId="22260099" w:rsidR="00DA3A01" w:rsidRDefault="00DA3A01" w:rsidP="008019BD">
      <w:pPr>
        <w:widowControl w:val="0"/>
        <w:autoSpaceDE w:val="0"/>
        <w:autoSpaceDN w:val="0"/>
        <w:adjustRightInd w:val="0"/>
        <w:spacing w:after="0" w:line="240" w:lineRule="auto"/>
        <w:ind w:left="2749"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Dr. Roberto Braccialini</w:t>
      </w:r>
    </w:p>
    <w:p w14:paraId="7B05A208" w14:textId="2157701F" w:rsidR="00DA3A01" w:rsidRDefault="00DA3A01" w:rsidP="008019BD">
      <w:pPr>
        <w:widowControl w:val="0"/>
        <w:autoSpaceDE w:val="0"/>
        <w:autoSpaceDN w:val="0"/>
        <w:adjustRightInd w:val="0"/>
        <w:spacing w:after="0" w:line="240" w:lineRule="auto"/>
        <w:ind w:left="2749"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750B49" wp14:editId="10BA93FE">
            <wp:extent cx="2226366" cy="850265"/>
            <wp:effectExtent l="0" t="0" r="254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unga 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532" cy="86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2E71" w14:textId="77777777" w:rsidR="00BB6B1F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CEEA5F7" w14:textId="282FA6D4" w:rsidR="00BB6B1F" w:rsidRPr="00DA3A01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A3A01">
        <w:rPr>
          <w:rFonts w:ascii="Times New Roman" w:hAnsi="Times New Roman"/>
          <w:b/>
          <w:i/>
          <w:sz w:val="28"/>
          <w:szCs w:val="28"/>
        </w:rPr>
        <w:t>Fac</w:t>
      </w:r>
      <w:proofErr w:type="spellEnd"/>
      <w:r w:rsidRPr="00DA3A01">
        <w:rPr>
          <w:rFonts w:ascii="Times New Roman" w:hAnsi="Times New Roman"/>
          <w:b/>
          <w:i/>
          <w:sz w:val="28"/>
          <w:szCs w:val="28"/>
        </w:rPr>
        <w:t xml:space="preserve"> simile</w:t>
      </w:r>
    </w:p>
    <w:p w14:paraId="4A61E233" w14:textId="77777777" w:rsidR="00BB6B1F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B60EDE4" w14:textId="0F481DA2" w:rsidR="00F30C10" w:rsidRPr="008019BD" w:rsidRDefault="00DA3A01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center"/>
        <w:rPr>
          <w:rFonts w:ascii="Times New Roman" w:hAnsi="Times New Roman"/>
          <w:b/>
          <w:sz w:val="32"/>
          <w:szCs w:val="32"/>
        </w:rPr>
      </w:pPr>
      <w:r w:rsidRPr="008019BD">
        <w:rPr>
          <w:rFonts w:ascii="Times New Roman" w:hAnsi="Times New Roman"/>
          <w:b/>
          <w:sz w:val="32"/>
          <w:szCs w:val="32"/>
        </w:rPr>
        <w:t>TRIBUNALE di GENOVA – Sezione 7^ CIVILE</w:t>
      </w:r>
    </w:p>
    <w:p w14:paraId="471FE6DC" w14:textId="5CA5989B" w:rsidR="00BB6B1F" w:rsidRPr="008019BD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19BD">
        <w:rPr>
          <w:rFonts w:ascii="Times New Roman" w:hAnsi="Times New Roman"/>
          <w:b/>
          <w:sz w:val="28"/>
          <w:szCs w:val="28"/>
          <w:u w:val="single"/>
        </w:rPr>
        <w:t>Relazione di avvenuta vendita immobiliare</w:t>
      </w:r>
    </w:p>
    <w:p w14:paraId="57DC5A75" w14:textId="77777777" w:rsidR="00DA3A01" w:rsidRDefault="00DA3A01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DE86994" w14:textId="084D7CFA" w:rsidR="00BB6B1F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Procedimento concorsuale </w:t>
      </w:r>
      <w:proofErr w:type="spellStart"/>
      <w:r>
        <w:rPr>
          <w:rFonts w:ascii="Times New Roman" w:hAnsi="Times New Roman"/>
          <w:b/>
          <w:sz w:val="28"/>
          <w:szCs w:val="28"/>
        </w:rPr>
        <w:t>r.g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1F7FE3A9" w14:textId="29AE0D47" w:rsidR="00BB6B1F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Lotto venduto (</w:t>
      </w:r>
      <w:r w:rsidRPr="00DA3A01">
        <w:rPr>
          <w:rFonts w:ascii="Times New Roman" w:hAnsi="Times New Roman"/>
          <w:b/>
          <w:i/>
          <w:sz w:val="28"/>
          <w:szCs w:val="28"/>
        </w:rPr>
        <w:t>identificazione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FC0273D" w14:textId="5912B254" w:rsidR="00BB6B1F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Perito estimatore (generalità)</w:t>
      </w:r>
    </w:p>
    <w:p w14:paraId="643AF389" w14:textId="7FC8D432" w:rsidR="00086A61" w:rsidRDefault="00086A61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Compenso liquidato per stima: euro</w:t>
      </w:r>
    </w:p>
    <w:p w14:paraId="449DB379" w14:textId="695F1581" w:rsidR="00086A61" w:rsidRDefault="00086A61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Spese di vendita: euro</w:t>
      </w:r>
    </w:p>
    <w:p w14:paraId="15402686" w14:textId="1DB721B5" w:rsidR="00BB6B1F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Valore di stima</w:t>
      </w:r>
      <w:r w:rsidR="00E055E9">
        <w:rPr>
          <w:rFonts w:ascii="Times New Roman" w:hAnsi="Times New Roman"/>
          <w:b/>
          <w:sz w:val="28"/>
          <w:szCs w:val="28"/>
        </w:rPr>
        <w:t>: euro</w:t>
      </w:r>
    </w:p>
    <w:p w14:paraId="3D501D94" w14:textId="1594DDDF" w:rsidR="00BB6B1F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Valore di aggiudicazione/vendita</w:t>
      </w:r>
      <w:r w:rsidR="00E055E9">
        <w:rPr>
          <w:rFonts w:ascii="Times New Roman" w:hAnsi="Times New Roman"/>
          <w:b/>
          <w:sz w:val="28"/>
          <w:szCs w:val="28"/>
        </w:rPr>
        <w:t>: euro</w:t>
      </w:r>
    </w:p>
    <w:p w14:paraId="13E736A0" w14:textId="5681764D" w:rsidR="00BB6B1F" w:rsidRPr="00BE0A28" w:rsidRDefault="00BB6B1F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Numero tentativi di vendita</w:t>
      </w:r>
      <w:r w:rsidR="00086A61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sectPr w:rsidR="00BB6B1F" w:rsidRPr="00BE0A28" w:rsidSect="008019B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77CC" w14:textId="77777777" w:rsidR="00EC2C1A" w:rsidRDefault="00EC2C1A" w:rsidP="00F255A7">
      <w:pPr>
        <w:spacing w:after="0" w:line="240" w:lineRule="auto"/>
      </w:pPr>
      <w:r>
        <w:separator/>
      </w:r>
    </w:p>
  </w:endnote>
  <w:endnote w:type="continuationSeparator" w:id="0">
    <w:p w14:paraId="2957D7B7" w14:textId="77777777" w:rsidR="00EC2C1A" w:rsidRDefault="00EC2C1A" w:rsidP="00F2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309227"/>
      <w:docPartObj>
        <w:docPartGallery w:val="Page Numbers (Bottom of Page)"/>
        <w:docPartUnique/>
      </w:docPartObj>
    </w:sdtPr>
    <w:sdtEndPr/>
    <w:sdtContent>
      <w:p w14:paraId="61A47F05" w14:textId="513B84C1" w:rsidR="0094007C" w:rsidRDefault="009400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9BD">
          <w:rPr>
            <w:noProof/>
          </w:rPr>
          <w:t>5</w:t>
        </w:r>
        <w:r>
          <w:fldChar w:fldCharType="end"/>
        </w:r>
      </w:p>
    </w:sdtContent>
  </w:sdt>
  <w:p w14:paraId="5E4F7D7E" w14:textId="77777777" w:rsidR="0094007C" w:rsidRDefault="009400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DE37C" w14:textId="77777777" w:rsidR="00EC2C1A" w:rsidRDefault="00EC2C1A" w:rsidP="00F255A7">
      <w:pPr>
        <w:spacing w:after="0" w:line="240" w:lineRule="auto"/>
      </w:pPr>
      <w:r>
        <w:separator/>
      </w:r>
    </w:p>
  </w:footnote>
  <w:footnote w:type="continuationSeparator" w:id="0">
    <w:p w14:paraId="0B482A43" w14:textId="77777777" w:rsidR="00EC2C1A" w:rsidRDefault="00EC2C1A" w:rsidP="00F2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303452"/>
      <w:docPartObj>
        <w:docPartGallery w:val="Page Numbers (Top of Page)"/>
        <w:docPartUnique/>
      </w:docPartObj>
    </w:sdtPr>
    <w:sdtEndPr/>
    <w:sdtContent>
      <w:p w14:paraId="5E9CAC78" w14:textId="54073D4D" w:rsidR="00F255A7" w:rsidRDefault="00F255A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9BD">
          <w:rPr>
            <w:noProof/>
          </w:rPr>
          <w:t>5</w:t>
        </w:r>
        <w:r>
          <w:fldChar w:fldCharType="end"/>
        </w:r>
      </w:p>
    </w:sdtContent>
  </w:sdt>
  <w:p w14:paraId="3199D0CA" w14:textId="77777777" w:rsidR="00F255A7" w:rsidRDefault="00F255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85C"/>
    <w:multiLevelType w:val="hybridMultilevel"/>
    <w:tmpl w:val="D46A7160"/>
    <w:lvl w:ilvl="0" w:tplc="8D767F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1B14F4"/>
    <w:multiLevelType w:val="hybridMultilevel"/>
    <w:tmpl w:val="E042EC54"/>
    <w:lvl w:ilvl="0" w:tplc="D39A479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D92052"/>
    <w:multiLevelType w:val="hybridMultilevel"/>
    <w:tmpl w:val="68CAADD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B1"/>
    <w:rsid w:val="00084AC5"/>
    <w:rsid w:val="00086A61"/>
    <w:rsid w:val="001E52B6"/>
    <w:rsid w:val="00391819"/>
    <w:rsid w:val="00432170"/>
    <w:rsid w:val="00533D31"/>
    <w:rsid w:val="005411B1"/>
    <w:rsid w:val="00595C3C"/>
    <w:rsid w:val="005F44D6"/>
    <w:rsid w:val="006C6BA0"/>
    <w:rsid w:val="007F50D6"/>
    <w:rsid w:val="008019BD"/>
    <w:rsid w:val="00804594"/>
    <w:rsid w:val="008B496C"/>
    <w:rsid w:val="008C5CE5"/>
    <w:rsid w:val="008D5FD9"/>
    <w:rsid w:val="0094007C"/>
    <w:rsid w:val="009B7561"/>
    <w:rsid w:val="009D2678"/>
    <w:rsid w:val="00AA5E50"/>
    <w:rsid w:val="00AA7D30"/>
    <w:rsid w:val="00BB6B1F"/>
    <w:rsid w:val="00BD7914"/>
    <w:rsid w:val="00BE0A28"/>
    <w:rsid w:val="00CB0BA3"/>
    <w:rsid w:val="00CF7D09"/>
    <w:rsid w:val="00D22A4D"/>
    <w:rsid w:val="00D963F2"/>
    <w:rsid w:val="00DA3A01"/>
    <w:rsid w:val="00DE2C03"/>
    <w:rsid w:val="00E055E9"/>
    <w:rsid w:val="00EC2C1A"/>
    <w:rsid w:val="00EE03ED"/>
    <w:rsid w:val="00F255A7"/>
    <w:rsid w:val="00F30C10"/>
    <w:rsid w:val="00F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E6EDA"/>
  <w14:defaultImageDpi w14:val="0"/>
  <w15:docId w15:val="{9CA2C59B-501D-4BF1-83FE-D2BCDB8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5A7"/>
  </w:style>
  <w:style w:type="paragraph" w:styleId="Pidipagina">
    <w:name w:val="footer"/>
    <w:basedOn w:val="Normale"/>
    <w:link w:val="PidipaginaCarattere"/>
    <w:uiPriority w:val="99"/>
    <w:unhideWhenUsed/>
    <w:rsid w:val="00F25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5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A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C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laura.med1995@gmail.com</dc:creator>
  <cp:keywords/>
  <dc:description/>
  <cp:lastModifiedBy>Account Microsoft</cp:lastModifiedBy>
  <cp:revision>6</cp:revision>
  <cp:lastPrinted>2022-01-27T10:12:00Z</cp:lastPrinted>
  <dcterms:created xsi:type="dcterms:W3CDTF">2022-01-28T11:14:00Z</dcterms:created>
  <dcterms:modified xsi:type="dcterms:W3CDTF">2022-02-03T06:57:00Z</dcterms:modified>
</cp:coreProperties>
</file>