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6" w:rsidRPr="00AD31D2" w:rsidRDefault="000850A6" w:rsidP="00AD31D2">
      <w:pPr>
        <w:rPr>
          <w:b/>
          <w:sz w:val="28"/>
          <w:szCs w:val="28"/>
        </w:rPr>
      </w:pPr>
    </w:p>
    <w:p w:rsidR="000850A6" w:rsidRPr="00AD31D2" w:rsidRDefault="000850A6" w:rsidP="00AD31D2">
      <w:pPr>
        <w:pStyle w:val="Titolo1"/>
        <w:jc w:val="center"/>
        <w:rPr>
          <w:b/>
        </w:rPr>
      </w:pPr>
      <w:r w:rsidRPr="00AD31D2">
        <w:rPr>
          <w:b/>
        </w:rPr>
        <w:t>UFFICIO TUTELE</w:t>
      </w:r>
    </w:p>
    <w:p w:rsidR="000850A6" w:rsidRPr="00CD7726" w:rsidRDefault="00A22B41" w:rsidP="00AD31D2">
      <w:pPr>
        <w:pStyle w:val="Titolo1"/>
        <w:jc w:val="center"/>
      </w:pPr>
      <w:r w:rsidRPr="00AD31D2">
        <w:rPr>
          <w:b/>
        </w:rPr>
        <w:t>Disposizione relativa al r</w:t>
      </w:r>
      <w:r w:rsidR="000850A6" w:rsidRPr="00AD31D2">
        <w:rPr>
          <w:b/>
        </w:rPr>
        <w:t xml:space="preserve">ilascio copie </w:t>
      </w:r>
      <w:proofErr w:type="gramStart"/>
      <w:r w:rsidR="00FD2D07" w:rsidRPr="00AD31D2">
        <w:rPr>
          <w:b/>
        </w:rPr>
        <w:t xml:space="preserve">attraverso </w:t>
      </w:r>
      <w:r w:rsidR="000850A6" w:rsidRPr="00AD31D2">
        <w:rPr>
          <w:b/>
        </w:rPr>
        <w:t xml:space="preserve"> </w:t>
      </w:r>
      <w:r w:rsidR="007D152B" w:rsidRPr="00AD31D2">
        <w:rPr>
          <w:b/>
        </w:rPr>
        <w:t>posta</w:t>
      </w:r>
      <w:proofErr w:type="gramEnd"/>
      <w:r w:rsidR="007D152B" w:rsidRPr="00AD31D2">
        <w:rPr>
          <w:b/>
        </w:rPr>
        <w:t xml:space="preserve"> el</w:t>
      </w:r>
      <w:r w:rsidR="00D42D80" w:rsidRPr="00AD31D2">
        <w:rPr>
          <w:b/>
        </w:rPr>
        <w:t>et</w:t>
      </w:r>
      <w:r w:rsidR="007D152B" w:rsidRPr="00AD31D2">
        <w:rPr>
          <w:b/>
        </w:rPr>
        <w:t>t</w:t>
      </w:r>
      <w:r w:rsidR="00D42D80" w:rsidRPr="00AD31D2">
        <w:rPr>
          <w:b/>
        </w:rPr>
        <w:t>ronica</w:t>
      </w:r>
    </w:p>
    <w:p w:rsidR="000850A6" w:rsidRDefault="000850A6"/>
    <w:p w:rsidR="00A22B41" w:rsidRDefault="00FD2D07" w:rsidP="00A22B41">
      <w:pPr>
        <w:spacing w:line="360" w:lineRule="auto"/>
        <w:ind w:firstLine="708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Premesso che</w:t>
      </w:r>
      <w:r w:rsidR="00A22B41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: </w:t>
      </w:r>
    </w:p>
    <w:p w:rsidR="000850A6" w:rsidRDefault="00FD2D07" w:rsidP="00A22B41">
      <w:pPr>
        <w:spacing w:line="360" w:lineRule="auto"/>
        <w:ind w:firstLine="708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a</w:t>
      </w:r>
      <w:proofErr w:type="gramEnd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partire dal mese di marzo 2020</w:t>
      </w:r>
      <w:r w:rsidR="00E15BF7">
        <w:rPr>
          <w:rFonts w:ascii="Tahoma" w:hAnsi="Tahoma" w:cs="Tahoma"/>
          <w:color w:val="212121"/>
          <w:sz w:val="23"/>
          <w:szCs w:val="23"/>
          <w:shd w:val="clear" w:color="auto" w:fill="FFFFFF"/>
        </w:rPr>
        <w:t>,</w:t>
      </w:r>
      <w:r w:rsid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con l’inizio dell’emergenza Covid-19, 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per cercare di contenere  gli accessi fisici del pubblico, sono state adottate  modalità semplificate per il rilascio delle copie relative alla procedure di Ads, Tutele e   Curatele (per brevità di seguito ci si riferirà  solo alle </w:t>
      </w:r>
      <w:proofErr w:type="spellStart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Ads</w:t>
      </w:r>
      <w:proofErr w:type="spellEnd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>)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.</w:t>
      </w:r>
    </w:p>
    <w:p w:rsidR="000850A6" w:rsidRDefault="00FD2D07" w:rsidP="00A22B41">
      <w:pPr>
        <w:spacing w:line="360" w:lineRule="auto"/>
        <w:ind w:firstLine="708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E, pertanto, </w:t>
      </w:r>
      <w:proofErr w:type="gramStart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i 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provvedimenti</w:t>
      </w:r>
      <w:proofErr w:type="gramEnd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 dei Giudici tutelari sono stati integrati con riferimento all’art. 23 CAD (Codice Amministrazione Digitale)  come meglio chiarito  di seguito: </w:t>
      </w:r>
    </w:p>
    <w:p w:rsidR="00F43818" w:rsidRPr="00F43818" w:rsidRDefault="00D42D80" w:rsidP="00CD7726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Per </w:t>
      </w:r>
      <w:proofErr w:type="gramStart"/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le </w:t>
      </w:r>
      <w:r w:rsidR="000850A6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0850A6" w:rsidRPr="00F43818"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  <w:t>nomina</w:t>
      </w:r>
      <w:proofErr w:type="gramEnd"/>
      <w:r w:rsidR="000850A6" w:rsidRPr="00F43818"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  <w:t xml:space="preserve"> provvisoria</w:t>
      </w:r>
      <w:r w:rsidR="000850A6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 è stato  predisposto   un </w:t>
      </w: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modello di </w:t>
      </w:r>
      <w:r w:rsidR="000850A6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decreto </w:t>
      </w: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che </w:t>
      </w:r>
      <w:r w:rsidR="000850A6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 contiene il riferimento alla </w:t>
      </w:r>
      <w:r w:rsidR="000850A6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possibilità per il privato di dichiarare</w:t>
      </w:r>
      <w:r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  - quale pubblico ufficiale autorizzato dal Giudice ex art. 23</w:t>
      </w:r>
      <w:r w:rsidR="00A22B41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, comma 1, </w:t>
      </w:r>
      <w:proofErr w:type="spellStart"/>
      <w:r w:rsidR="00A22B41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D.Lgs.</w:t>
      </w:r>
      <w:proofErr w:type="spellEnd"/>
      <w:r w:rsidR="00A22B41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 82/2005 (</w:t>
      </w:r>
      <w:r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CAD</w:t>
      </w:r>
      <w:r w:rsidR="00A22B41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)</w:t>
      </w:r>
      <w:r w:rsidR="000850A6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 la </w:t>
      </w:r>
      <w:proofErr w:type="gramStart"/>
      <w:r w:rsidR="000850A6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conformità </w:t>
      </w:r>
      <w:r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 all’originale</w:t>
      </w:r>
      <w:proofErr w:type="gramEnd"/>
      <w:r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 </w:t>
      </w:r>
      <w:r w:rsidR="000850A6" w:rsidRP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della copia del decre</w:t>
      </w:r>
      <w:r w:rsidR="00F43818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to che riceve via mail.</w:t>
      </w:r>
    </w:p>
    <w:p w:rsidR="000850A6" w:rsidRPr="00F43818" w:rsidRDefault="000850A6" w:rsidP="00F43818">
      <w:pPr>
        <w:spacing w:after="0" w:line="360" w:lineRule="auto"/>
        <w:ind w:left="720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L’ </w:t>
      </w:r>
      <w:proofErr w:type="spellStart"/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AdS</w:t>
      </w:r>
      <w:proofErr w:type="spellEnd"/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in questo caso </w:t>
      </w: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>richiede copia dell’atto via mail</w:t>
      </w:r>
      <w:r w:rsidR="00CD7726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 </w:t>
      </w:r>
      <w:hyperlink r:id="rId5" w:history="1">
        <w:r w:rsidR="00CD7726" w:rsidRPr="00F43818">
          <w:rPr>
            <w:rStyle w:val="Collegamentoipertestuale"/>
            <w:rFonts w:ascii="Tahoma" w:hAnsi="Tahoma" w:cs="Tahoma"/>
            <w:sz w:val="23"/>
            <w:szCs w:val="23"/>
            <w:shd w:val="clear" w:color="auto" w:fill="FFFFFF"/>
          </w:rPr>
          <w:t>ufficiotutele.tribunale.genova@giustizia.it</w:t>
        </w:r>
      </w:hyperlink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allegando documento di identità e la cancelleria provvede a spedire -  sempre a mezzo posta elettronica -  una copia </w:t>
      </w:r>
      <w:proofErr w:type="gramStart"/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>del  decreto</w:t>
      </w:r>
      <w:proofErr w:type="gramEnd"/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con le istruzioni  per la dichiarazione da apporre in calce ai fini dell’</w:t>
      </w:r>
      <w:r w:rsidR="00A22B41"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P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>”autentica”.</w:t>
      </w:r>
      <w:r w:rsid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br/>
      </w:r>
    </w:p>
    <w:p w:rsidR="00D42D80" w:rsidRPr="00D42D80" w:rsidRDefault="00F43818" w:rsidP="00CD772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color w:val="212121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P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er consentire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, inoltre, 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agli amministratori di sostegno  già nominati di dichiarare la conformità dei provvedimenti del giudice tutelare nei </w:t>
      </w:r>
      <w:r w:rsidR="000850A6" w:rsidRPr="00D42D80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 xml:space="preserve">sub 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[ossia nelle </w:t>
      </w:r>
      <w:r w:rsidR="000850A6" w:rsidRPr="00D42D80">
        <w:rPr>
          <w:rFonts w:ascii="Tahoma" w:hAnsi="Tahoma" w:cs="Tahoma"/>
          <w:b/>
          <w:color w:val="212121"/>
          <w:sz w:val="23"/>
          <w:szCs w:val="23"/>
          <w:shd w:val="clear" w:color="auto" w:fill="FFFFFF"/>
        </w:rPr>
        <w:t>istanze per atti di straordinaria amministrazione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] sono stati predisposti  tre provvedimenti a firma del presidente </w:t>
      </w:r>
      <w:r w:rsidR="00A22B41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dott. 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Mazza Galanti che sono denominati “provvedimenti cornice”  che consentono, comunque, agli amministratori di sostegno, ai tutori ed ai curat</w:t>
      </w:r>
      <w:r w:rsid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ori di dichiarare la conformità come al punto 1 </w:t>
      </w:r>
      <w:r w:rsidR="000850A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ai sensi de</w:t>
      </w:r>
      <w:r w:rsid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ll'articolo 23 del CAD.</w:t>
      </w:r>
    </w:p>
    <w:p w:rsidR="00CD7726" w:rsidRDefault="00E15BF7" w:rsidP="00D42D80">
      <w:pPr>
        <w:pStyle w:val="Paragrafoelenco"/>
        <w:spacing w:after="0"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L’ </w:t>
      </w:r>
      <w:proofErr w:type="spellStart"/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AdS</w:t>
      </w:r>
      <w:proofErr w:type="spellEnd"/>
      <w:r w:rsid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richiede copia dell’atto via mail a </w:t>
      </w:r>
      <w:hyperlink r:id="rId6" w:history="1">
        <w:proofErr w:type="gramStart"/>
        <w:r w:rsidRPr="00D42D80">
          <w:rPr>
            <w:rStyle w:val="Collegamentoipertestuale"/>
            <w:rFonts w:ascii="Tahoma" w:hAnsi="Tahoma" w:cs="Tahoma"/>
            <w:sz w:val="23"/>
            <w:szCs w:val="23"/>
            <w:shd w:val="clear" w:color="auto" w:fill="FFFFFF"/>
          </w:rPr>
          <w:t>ufficiotutele.tribunale.genova@giustizia.it</w:t>
        </w:r>
      </w:hyperlink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 allegando</w:t>
      </w:r>
      <w:proofErr w:type="gramEnd"/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documento di identità e la cancelleria provvede a spedire -  sempre a mezzo posta elettronica -  copia del provvedimento</w:t>
      </w:r>
      <w:r w:rsidR="00CD7726"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corredato dal  decreto cornice, nonché  le istruzioni per la dichiarazione da apporre in calce.</w:t>
      </w:r>
    </w:p>
    <w:p w:rsidR="00FD2D07" w:rsidRPr="00D42D80" w:rsidRDefault="00FD2D07" w:rsidP="00D42D80">
      <w:pPr>
        <w:pStyle w:val="Paragrafoelenco"/>
        <w:spacing w:after="0" w:line="360" w:lineRule="auto"/>
        <w:jc w:val="both"/>
        <w:rPr>
          <w:color w:val="212121"/>
        </w:rPr>
      </w:pPr>
    </w:p>
    <w:p w:rsidR="00E15BF7" w:rsidRDefault="00A22B41" w:rsidP="00CD7726">
      <w:pPr>
        <w:spacing w:after="0"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lastRenderedPageBreak/>
        <w:t xml:space="preserve">Ciò premesso </w:t>
      </w:r>
      <w:proofErr w:type="gramStart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si  impartiscono</w:t>
      </w:r>
      <w:proofErr w:type="gramEnd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B27D29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disposizioni circa 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le  nuove modalità di rilascio copie attraverso il canale della posta elettronica: </w:t>
      </w:r>
    </w:p>
    <w:p w:rsidR="00FD2D07" w:rsidRPr="00CD7726" w:rsidRDefault="00FD2D07" w:rsidP="00CD7726">
      <w:pPr>
        <w:spacing w:after="0"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</w:p>
    <w:p w:rsidR="00FD2D07" w:rsidRDefault="00D42D80" w:rsidP="000850A6">
      <w:pPr>
        <w:spacing w:line="360" w:lineRule="auto"/>
        <w:jc w:val="both"/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</w:pPr>
      <w:proofErr w:type="spellStart"/>
      <w:r w:rsidRPr="00D42D80"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  <w:t>Modalita’</w:t>
      </w:r>
      <w:proofErr w:type="spellEnd"/>
    </w:p>
    <w:p w:rsidR="00D42D80" w:rsidRDefault="00D42D80" w:rsidP="000850A6">
      <w:pPr>
        <w:spacing w:line="360" w:lineRule="auto"/>
        <w:jc w:val="both"/>
        <w:rPr>
          <w:rStyle w:val="Collegamentoipertestuale"/>
          <w:rFonts w:ascii="Tahoma" w:hAnsi="Tahoma" w:cs="Tahoma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L’utente </w:t>
      </w:r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deve compilare la </w:t>
      </w:r>
      <w:proofErr w:type="gramStart"/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domanda  (</w:t>
      </w:r>
      <w:proofErr w:type="gramEnd"/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vedi allegato),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indicando il numero di ruolo, </w:t>
      </w:r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applicare su</w:t>
      </w:r>
      <w:r w:rsidR="00F43818">
        <w:rPr>
          <w:rFonts w:ascii="Tahoma" w:hAnsi="Tahoma" w:cs="Tahoma"/>
          <w:color w:val="212121"/>
          <w:sz w:val="23"/>
          <w:szCs w:val="23"/>
          <w:shd w:val="clear" w:color="auto" w:fill="FFFFFF"/>
        </w:rPr>
        <w:t>lla stessa 1 marca da euro 0,</w:t>
      </w:r>
      <w:r w:rsidR="008668DB">
        <w:rPr>
          <w:rFonts w:ascii="Tahoma" w:hAnsi="Tahoma" w:cs="Tahoma"/>
          <w:color w:val="212121"/>
          <w:sz w:val="23"/>
          <w:szCs w:val="23"/>
          <w:shd w:val="clear" w:color="auto" w:fill="FFFFFF"/>
        </w:rPr>
        <w:t>9</w:t>
      </w:r>
      <w:r w:rsidR="007E007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8</w:t>
      </w:r>
      <w:r w:rsidR="008668DB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DA11ED">
        <w:rPr>
          <w:rFonts w:ascii="Tahoma" w:hAnsi="Tahoma" w:cs="Tahoma"/>
          <w:color w:val="212121"/>
          <w:sz w:val="23"/>
          <w:szCs w:val="23"/>
          <w:shd w:val="clear" w:color="auto" w:fill="FFFFFF"/>
        </w:rPr>
        <w:t>[</w:t>
      </w:r>
      <w:r w:rsidR="008668DB">
        <w:rPr>
          <w:rFonts w:ascii="Tahoma" w:hAnsi="Tahoma" w:cs="Tahoma"/>
          <w:color w:val="212121"/>
          <w:sz w:val="23"/>
          <w:szCs w:val="23"/>
          <w:shd w:val="clear" w:color="auto" w:fill="FFFFFF"/>
        </w:rPr>
        <w:t>nel caso in cui l’atto sia composto  dal un numero di p</w:t>
      </w:r>
      <w:r w:rsidR="00DA11ED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</w:t>
      </w:r>
      <w:r w:rsidR="008668DB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gine fino a 4 </w:t>
      </w:r>
      <w:r w:rsidR="00DA11ED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e </w:t>
      </w:r>
      <w:r w:rsidR="008668DB">
        <w:rPr>
          <w:rFonts w:ascii="Tahoma" w:hAnsi="Tahoma" w:cs="Tahoma"/>
          <w:color w:val="212121"/>
          <w:sz w:val="23"/>
          <w:szCs w:val="23"/>
          <w:shd w:val="clear" w:color="auto" w:fill="FFFFFF"/>
        </w:rPr>
        <w:t>questa è l’ipotesi più frequente]</w:t>
      </w:r>
      <w:r w:rsidRPr="00D42D80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annullare la marca con la data, poi scansionare la domanda ed inviarla a </w:t>
      </w:r>
      <w:hyperlink r:id="rId7" w:history="1">
        <w:r w:rsidRPr="00296A2C">
          <w:rPr>
            <w:rStyle w:val="Collegamentoipertestuale"/>
            <w:rFonts w:ascii="Tahoma" w:hAnsi="Tahoma" w:cs="Tahoma"/>
            <w:sz w:val="23"/>
            <w:szCs w:val="23"/>
            <w:shd w:val="clear" w:color="auto" w:fill="FFFFFF"/>
          </w:rPr>
          <w:t>ufficiotutele.tribunale.genova@giustizia.it</w:t>
        </w:r>
      </w:hyperlink>
    </w:p>
    <w:p w:rsidR="00FD2D07" w:rsidRDefault="00D42D80" w:rsidP="007D152B">
      <w:pPr>
        <w:spacing w:line="360" w:lineRule="auto"/>
        <w:jc w:val="both"/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</w:pPr>
      <w:r w:rsidRPr="00B2499E"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  <w:t>Aspetto fiscale</w:t>
      </w:r>
    </w:p>
    <w:p w:rsidR="00D42D80" w:rsidRPr="00C67A9D" w:rsidRDefault="00D42D80" w:rsidP="007D152B">
      <w:pPr>
        <w:spacing w:line="360" w:lineRule="auto"/>
        <w:jc w:val="both"/>
        <w:rPr>
          <w:rFonts w:ascii="Tahoma" w:hAnsi="Tahoma" w:cs="Tahoma"/>
          <w:color w:val="212121"/>
          <w:sz w:val="23"/>
          <w:szCs w:val="23"/>
          <w:u w:val="single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La</w:t>
      </w:r>
      <w:r w:rsidR="000850A6" w:rsidRPr="00877CC3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marca da 0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>,</w:t>
      </w:r>
      <w:r w:rsidR="000850A6" w:rsidRPr="00877CC3">
        <w:rPr>
          <w:rFonts w:ascii="Tahoma" w:hAnsi="Tahoma" w:cs="Tahoma"/>
          <w:color w:val="212121"/>
          <w:sz w:val="23"/>
          <w:szCs w:val="23"/>
          <w:shd w:val="clear" w:color="auto" w:fill="FFFFFF"/>
        </w:rPr>
        <w:t>9</w:t>
      </w:r>
      <w:r w:rsidR="007E0070">
        <w:rPr>
          <w:rFonts w:ascii="Tahoma" w:hAnsi="Tahoma" w:cs="Tahoma"/>
          <w:color w:val="212121"/>
          <w:sz w:val="23"/>
          <w:szCs w:val="23"/>
          <w:shd w:val="clear" w:color="auto" w:fill="FFFFFF"/>
        </w:rPr>
        <w:t>8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occorre </w:t>
      </w:r>
      <w:r w:rsidR="00E15BF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per il pagamento </w:t>
      </w:r>
      <w:proofErr w:type="gramStart"/>
      <w:r w:rsidR="00E15BF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dei 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diritti</w:t>
      </w:r>
      <w:proofErr w:type="gramEnd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di </w:t>
      </w:r>
      <w:r w:rsidR="000850A6" w:rsidRPr="00877CC3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copia semplice di atto esistente nell'arch</w:t>
      </w:r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ivio informatico: copia semplice 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che la can</w:t>
      </w:r>
      <w:r w:rsidR="007D152B">
        <w:rPr>
          <w:rFonts w:ascii="Tahoma" w:hAnsi="Tahoma" w:cs="Tahoma"/>
          <w:color w:val="212121"/>
          <w:sz w:val="23"/>
          <w:szCs w:val="23"/>
          <w:shd w:val="clear" w:color="auto" w:fill="FFFFFF"/>
        </w:rPr>
        <w:t>celle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ria  invierà al richiedente e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di cui poi  l’</w:t>
      </w:r>
      <w:proofErr w:type="spellStart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Ads</w:t>
      </w:r>
      <w:proofErr w:type="spellEnd"/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, </w:t>
      </w:r>
      <w:r w:rsidR="000850A6" w:rsidRPr="00877CC3">
        <w:rPr>
          <w:rFonts w:ascii="Tahoma" w:hAnsi="Tahoma" w:cs="Tahoma"/>
          <w:color w:val="212121"/>
          <w:sz w:val="23"/>
          <w:szCs w:val="23"/>
          <w:shd w:val="clear" w:color="auto" w:fill="FFFFFF"/>
        </w:rPr>
        <w:t>quale pubblico ufficiale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 a ciò autorizzato dal GT, 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attesterà</w:t>
      </w:r>
      <w:r w:rsidR="000850A6" w:rsidRPr="00877CC3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la conformità all'originale ai sensi dell'articolo 23 del CAD</w:t>
      </w:r>
      <w:r w:rsidR="007D152B">
        <w:rPr>
          <w:rFonts w:ascii="Tahoma" w:hAnsi="Tahoma" w:cs="Tahoma"/>
          <w:color w:val="212121"/>
          <w:sz w:val="23"/>
          <w:szCs w:val="23"/>
          <w:shd w:val="clear" w:color="auto" w:fill="FFFFFF"/>
        </w:rPr>
        <w:t>.</w:t>
      </w:r>
    </w:p>
    <w:p w:rsidR="00C67A9D" w:rsidRDefault="00C67A9D" w:rsidP="000850A6">
      <w:pPr>
        <w:spacing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La </w:t>
      </w:r>
      <w:proofErr w:type="gramStart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domanda </w:t>
      </w:r>
      <w:r w:rsidR="00CD772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con</w:t>
      </w:r>
      <w:proofErr w:type="gramEnd"/>
      <w:r w:rsidR="00CD772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l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 marca scansionat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a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v</w:t>
      </w:r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errà 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>acquisita</w:t>
      </w:r>
      <w:r w:rsidR="000850A6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nel fascicolo telematico su SICID con annotazione </w:t>
      </w:r>
      <w:r w:rsidR="000850A6" w:rsidRPr="00DB7916"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  <w:t xml:space="preserve">“rilasciata copia </w:t>
      </w:r>
      <w:r w:rsidR="000850A6"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  <w:t>semplice</w:t>
      </w:r>
      <w:r w:rsidR="000850A6" w:rsidRPr="00CD7332"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  <w:t xml:space="preserve"> di atto esistente nell'archivio informatico</w:t>
      </w:r>
      <w:r w:rsidR="000850A6" w:rsidRPr="00DB7916"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  <w:t>”</w:t>
      </w: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.</w:t>
      </w:r>
    </w:p>
    <w:p w:rsidR="00E15BF7" w:rsidRDefault="00C67A9D" w:rsidP="000850A6">
      <w:pPr>
        <w:spacing w:line="360" w:lineRule="auto"/>
        <w:jc w:val="both"/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Di seguito la tabella da </w:t>
      </w:r>
      <w:proofErr w:type="gramStart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utilizzare  per</w:t>
      </w:r>
      <w:proofErr w:type="gramEnd"/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i diritti  da esigere</w:t>
      </w:r>
      <w:r w:rsidR="00FD2D07">
        <w:rPr>
          <w:rFonts w:ascii="Tahoma" w:hAnsi="Tahoma" w:cs="Tahoma"/>
          <w:color w:val="212121"/>
          <w:sz w:val="23"/>
          <w:szCs w:val="23"/>
          <w:shd w:val="clear" w:color="auto" w:fill="FFFFFF"/>
        </w:rPr>
        <w:t>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942"/>
        <w:gridCol w:w="4138"/>
      </w:tblGrid>
      <w:tr w:rsidR="00AD31D2" w:rsidTr="00F56A34">
        <w:trPr>
          <w:trHeight w:val="304"/>
          <w:jc w:val="center"/>
        </w:trPr>
        <w:tc>
          <w:tcPr>
            <w:tcW w:w="7080" w:type="dxa"/>
            <w:gridSpan w:val="2"/>
          </w:tcPr>
          <w:p w:rsidR="00AD31D2" w:rsidRPr="0037203F" w:rsidRDefault="00AD31D2" w:rsidP="003D3FDD">
            <w:pPr>
              <w:jc w:val="center"/>
              <w:rPr>
                <w:b/>
              </w:rPr>
            </w:pPr>
            <w:r w:rsidRPr="00AD31D2">
              <w:rPr>
                <w:b/>
              </w:rPr>
              <w:t xml:space="preserve">TABELLA DIRITTI DI </w:t>
            </w:r>
            <w:proofErr w:type="gramStart"/>
            <w:r w:rsidRPr="00AD31D2">
              <w:rPr>
                <w:b/>
              </w:rPr>
              <w:t>COPIA  SU</w:t>
            </w:r>
            <w:proofErr w:type="gramEnd"/>
            <w:r w:rsidRPr="00AD31D2">
              <w:rPr>
                <w:b/>
              </w:rPr>
              <w:t xml:space="preserve"> SUPPORTO ELETTRONICO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Default="00AD31D2" w:rsidP="003D3FDD">
            <w:pPr>
              <w:rPr>
                <w:b/>
                <w:bCs/>
                <w:sz w:val="28"/>
              </w:rPr>
            </w:pPr>
            <w:r w:rsidRPr="0037203F">
              <w:rPr>
                <w:b/>
              </w:rPr>
              <w:t>Numero pagine</w:t>
            </w:r>
          </w:p>
        </w:tc>
        <w:tc>
          <w:tcPr>
            <w:tcW w:w="4138" w:type="dxa"/>
          </w:tcPr>
          <w:p w:rsidR="00AD31D2" w:rsidRDefault="00AD31D2" w:rsidP="003D3FDD">
            <w:pPr>
              <w:jc w:val="center"/>
              <w:rPr>
                <w:b/>
                <w:bCs/>
                <w:sz w:val="28"/>
              </w:rPr>
            </w:pPr>
            <w:proofErr w:type="gramStart"/>
            <w:r w:rsidRPr="0037203F">
              <w:rPr>
                <w:b/>
              </w:rPr>
              <w:t xml:space="preserve">Copie </w:t>
            </w:r>
            <w:r>
              <w:rPr>
                <w:b/>
              </w:rPr>
              <w:t xml:space="preserve"> semplici</w:t>
            </w:r>
            <w:proofErr w:type="gramEnd"/>
            <w:r>
              <w:rPr>
                <w:b/>
              </w:rPr>
              <w:t xml:space="preserve"> - euro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>
              <w:t>1 – 4</w:t>
            </w:r>
          </w:p>
        </w:tc>
        <w:tc>
          <w:tcPr>
            <w:tcW w:w="4138" w:type="dxa"/>
          </w:tcPr>
          <w:p w:rsidR="00AD31D2" w:rsidRPr="00601292" w:rsidRDefault="00AD31D2" w:rsidP="007E0070">
            <w:pPr>
              <w:jc w:val="center"/>
            </w:pPr>
            <w:r>
              <w:t>0,9</w:t>
            </w:r>
            <w:r w:rsidR="007E0070">
              <w:t>8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 w:rsidRPr="00601292">
              <w:t xml:space="preserve">5 – 10 </w:t>
            </w:r>
          </w:p>
        </w:tc>
        <w:tc>
          <w:tcPr>
            <w:tcW w:w="4138" w:type="dxa"/>
          </w:tcPr>
          <w:p w:rsidR="00AD31D2" w:rsidRPr="00601292" w:rsidRDefault="00AD31D2" w:rsidP="007E0070">
            <w:pPr>
              <w:jc w:val="center"/>
            </w:pPr>
            <w:r w:rsidRPr="00601292">
              <w:t>1,</w:t>
            </w:r>
            <w:r>
              <w:t>9</w:t>
            </w:r>
            <w:r w:rsidR="007E0070">
              <w:t>7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 w:rsidRPr="00601292">
              <w:t xml:space="preserve">11 – 20 </w:t>
            </w:r>
          </w:p>
        </w:tc>
        <w:tc>
          <w:tcPr>
            <w:tcW w:w="4138" w:type="dxa"/>
          </w:tcPr>
          <w:p w:rsidR="00AD31D2" w:rsidRPr="00601292" w:rsidRDefault="007E0070" w:rsidP="003D3FDD">
            <w:pPr>
              <w:jc w:val="center"/>
            </w:pPr>
            <w:r>
              <w:t>3,92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 w:rsidRPr="00601292">
              <w:t xml:space="preserve">21 – 50 </w:t>
            </w:r>
          </w:p>
        </w:tc>
        <w:tc>
          <w:tcPr>
            <w:tcW w:w="4138" w:type="dxa"/>
          </w:tcPr>
          <w:p w:rsidR="00AD31D2" w:rsidRPr="00601292" w:rsidRDefault="007E0070" w:rsidP="003D3FDD">
            <w:pPr>
              <w:jc w:val="center"/>
            </w:pPr>
            <w:r>
              <w:t>7,86</w:t>
            </w:r>
          </w:p>
        </w:tc>
      </w:tr>
      <w:tr w:rsidR="00AD31D2" w:rsidTr="00AD31D2">
        <w:trPr>
          <w:trHeight w:val="304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 w:rsidRPr="00601292">
              <w:t>51 – 100</w:t>
            </w:r>
          </w:p>
        </w:tc>
        <w:tc>
          <w:tcPr>
            <w:tcW w:w="4138" w:type="dxa"/>
          </w:tcPr>
          <w:p w:rsidR="00AD31D2" w:rsidRPr="00601292" w:rsidRDefault="007E0070" w:rsidP="003D3FDD">
            <w:pPr>
              <w:jc w:val="center"/>
            </w:pPr>
            <w:r>
              <w:t>15,72</w:t>
            </w:r>
          </w:p>
        </w:tc>
      </w:tr>
      <w:tr w:rsidR="00AD31D2" w:rsidTr="00AD31D2">
        <w:trPr>
          <w:trHeight w:val="503"/>
          <w:jc w:val="center"/>
        </w:trPr>
        <w:tc>
          <w:tcPr>
            <w:tcW w:w="2942" w:type="dxa"/>
          </w:tcPr>
          <w:p w:rsidR="00AD31D2" w:rsidRPr="00601292" w:rsidRDefault="00AD31D2" w:rsidP="003D3FDD">
            <w:pPr>
              <w:jc w:val="center"/>
            </w:pPr>
            <w:r w:rsidRPr="00601292">
              <w:t xml:space="preserve"> Oltre 100</w:t>
            </w:r>
          </w:p>
        </w:tc>
        <w:tc>
          <w:tcPr>
            <w:tcW w:w="4138" w:type="dxa"/>
          </w:tcPr>
          <w:p w:rsidR="00AD31D2" w:rsidRDefault="007E0070" w:rsidP="007E00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>
              <w:rPr>
                <w:color w:val="000000"/>
              </w:rPr>
              <w:t>15,72</w:t>
            </w:r>
            <w:r w:rsidR="00AD31D2">
              <w:rPr>
                <w:color w:val="000000"/>
              </w:rPr>
              <w:t xml:space="preserve"> + 6,</w:t>
            </w:r>
            <w:r>
              <w:rPr>
                <w:color w:val="000000"/>
              </w:rPr>
              <w:t xml:space="preserve">55  </w:t>
            </w:r>
            <w:bookmarkStart w:id="0" w:name="_GoBack"/>
            <w:bookmarkEnd w:id="0"/>
            <w:r w:rsidR="00AD31D2">
              <w:rPr>
                <w:color w:val="000000"/>
              </w:rPr>
              <w:t xml:space="preserve">  ogni ulteriori100 pagine o frazioni di 100</w:t>
            </w:r>
          </w:p>
        </w:tc>
      </w:tr>
    </w:tbl>
    <w:p w:rsidR="00CD7726" w:rsidRDefault="00CD7726" w:rsidP="000850A6">
      <w:pPr>
        <w:spacing w:line="360" w:lineRule="auto"/>
        <w:jc w:val="both"/>
        <w:rPr>
          <w:rFonts w:ascii="Tahoma" w:hAnsi="Tahoma" w:cs="Tahoma"/>
          <w:i/>
          <w:color w:val="212121"/>
          <w:sz w:val="23"/>
          <w:szCs w:val="23"/>
          <w:shd w:val="clear" w:color="auto" w:fill="FFFFFF"/>
        </w:rPr>
      </w:pPr>
    </w:p>
    <w:p w:rsidR="00FB321C" w:rsidRDefault="00FB321C" w:rsidP="000850A6">
      <w:pPr>
        <w:spacing w:line="360" w:lineRule="auto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 w:rsidRPr="00FB321C">
        <w:rPr>
          <w:rFonts w:ascii="Tahoma" w:hAnsi="Tahoma" w:cs="Tahoma"/>
          <w:color w:val="212121"/>
          <w:sz w:val="23"/>
          <w:szCs w:val="23"/>
          <w:shd w:val="clear" w:color="auto" w:fill="FFFFFF"/>
        </w:rPr>
        <w:t>Genova, 14 gennaio 2021</w:t>
      </w:r>
    </w:p>
    <w:p w:rsidR="00FB321C" w:rsidRDefault="00FB321C" w:rsidP="00FB321C">
      <w:pPr>
        <w:spacing w:line="360" w:lineRule="auto"/>
        <w:ind w:left="4248" w:firstLine="708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>Il direttore amministrativo</w:t>
      </w:r>
    </w:p>
    <w:p w:rsidR="00FB321C" w:rsidRPr="00FB321C" w:rsidRDefault="00B27D29" w:rsidP="004D153F">
      <w:pPr>
        <w:spacing w:line="360" w:lineRule="auto"/>
        <w:ind w:left="4956"/>
        <w:jc w:val="both"/>
        <w:rPr>
          <w:rFonts w:ascii="Tahoma" w:hAnsi="Tahoma" w:cs="Tahoma"/>
          <w:color w:val="212121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4D153F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Dott. </w:t>
      </w:r>
      <w:proofErr w:type="spellStart"/>
      <w:r w:rsidR="004D153F">
        <w:rPr>
          <w:rFonts w:ascii="Tahoma" w:hAnsi="Tahoma" w:cs="Tahoma"/>
          <w:color w:val="212121"/>
          <w:sz w:val="23"/>
          <w:szCs w:val="23"/>
          <w:shd w:val="clear" w:color="auto" w:fill="FFFFFF"/>
        </w:rPr>
        <w:t>ssa</w:t>
      </w:r>
      <w:proofErr w:type="spellEnd"/>
      <w:r w:rsidR="004D153F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 </w:t>
      </w:r>
      <w:r w:rsidR="00FB321C">
        <w:rPr>
          <w:rFonts w:ascii="Tahoma" w:hAnsi="Tahoma" w:cs="Tahoma"/>
          <w:color w:val="212121"/>
          <w:sz w:val="23"/>
          <w:szCs w:val="23"/>
          <w:shd w:val="clear" w:color="auto" w:fill="FFFFFF"/>
        </w:rPr>
        <w:t xml:space="preserve">Daniela </w:t>
      </w:r>
      <w:r w:rsidR="004D153F">
        <w:rPr>
          <w:rFonts w:ascii="Tahoma" w:hAnsi="Tahoma" w:cs="Tahoma"/>
          <w:color w:val="212121"/>
          <w:sz w:val="23"/>
          <w:szCs w:val="23"/>
          <w:shd w:val="clear" w:color="auto" w:fill="FFFFFF"/>
        </w:rPr>
        <w:t>B</w:t>
      </w:r>
      <w:r w:rsidR="00FB321C">
        <w:rPr>
          <w:rFonts w:ascii="Tahoma" w:hAnsi="Tahoma" w:cs="Tahoma"/>
          <w:color w:val="212121"/>
          <w:sz w:val="23"/>
          <w:szCs w:val="23"/>
          <w:shd w:val="clear" w:color="auto" w:fill="FFFFFF"/>
        </w:rPr>
        <w:t>ordo</w:t>
      </w:r>
    </w:p>
    <w:sectPr w:rsidR="00FB321C" w:rsidRPr="00FB32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D6A55"/>
    <w:multiLevelType w:val="hybridMultilevel"/>
    <w:tmpl w:val="7EB6A1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6"/>
    <w:rsid w:val="000850A6"/>
    <w:rsid w:val="00096C0D"/>
    <w:rsid w:val="00290ED9"/>
    <w:rsid w:val="004D153F"/>
    <w:rsid w:val="00747457"/>
    <w:rsid w:val="007D152B"/>
    <w:rsid w:val="007E0070"/>
    <w:rsid w:val="008668DB"/>
    <w:rsid w:val="00A22B41"/>
    <w:rsid w:val="00AD31D2"/>
    <w:rsid w:val="00B27D29"/>
    <w:rsid w:val="00C52ACF"/>
    <w:rsid w:val="00C67A9D"/>
    <w:rsid w:val="00CD7726"/>
    <w:rsid w:val="00D42D80"/>
    <w:rsid w:val="00DA11ED"/>
    <w:rsid w:val="00E15BF7"/>
    <w:rsid w:val="00F43818"/>
    <w:rsid w:val="00FB321C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DF5D2-C799-4742-ACCC-CBCDFE0E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3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3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50A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850A6"/>
    <w:rPr>
      <w:b/>
      <w:bCs/>
    </w:rPr>
  </w:style>
  <w:style w:type="paragraph" w:styleId="Paragrafoelenco">
    <w:name w:val="List Paragraph"/>
    <w:basedOn w:val="Normale"/>
    <w:uiPriority w:val="34"/>
    <w:qFormat/>
    <w:rsid w:val="000850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81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3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3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tutele.tribunale.genov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tutele.tribunale.genova@giustizia.it" TargetMode="External"/><Relationship Id="rId5" Type="http://schemas.openxmlformats.org/officeDocument/2006/relationships/hyperlink" Target="mailto:ufficiotutele.tribunale.genova@giustiz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cp:lastPrinted>2021-01-14T11:46:00Z</cp:lastPrinted>
  <dcterms:created xsi:type="dcterms:W3CDTF">2021-08-12T08:48:00Z</dcterms:created>
  <dcterms:modified xsi:type="dcterms:W3CDTF">2021-08-12T08:48:00Z</dcterms:modified>
</cp:coreProperties>
</file>