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FB2D6" w14:textId="77777777" w:rsidR="00B23C5A" w:rsidRDefault="00B23C5A" w:rsidP="00B23C5A">
      <w:pPr>
        <w:ind w:left="360" w:hanging="360"/>
      </w:pPr>
      <w:bookmarkStart w:id="0" w:name="_Toc13051016"/>
    </w:p>
    <w:p w14:paraId="519C9B80" w14:textId="77777777" w:rsidR="00B23C5A" w:rsidRDefault="00B23C5A" w:rsidP="00B23C5A">
      <w:pPr>
        <w:ind w:left="360" w:hanging="360"/>
      </w:pPr>
    </w:p>
    <w:p w14:paraId="00065C97" w14:textId="77777777" w:rsidR="00B23C5A" w:rsidRDefault="00B23C5A" w:rsidP="00B23C5A">
      <w:pPr>
        <w:ind w:left="360" w:hanging="360"/>
      </w:pPr>
    </w:p>
    <w:p w14:paraId="0F1AAD3A" w14:textId="77777777" w:rsidR="00B23C5A" w:rsidRPr="004164F3" w:rsidRDefault="00B23C5A" w:rsidP="00B23C5A">
      <w:pPr>
        <w:widowControl w:val="0"/>
        <w:spacing w:line="479" w:lineRule="atLeast"/>
        <w:jc w:val="center"/>
      </w:pPr>
    </w:p>
    <w:p w14:paraId="0D744F89" w14:textId="77777777" w:rsidR="00B23C5A" w:rsidRDefault="00B23C5A" w:rsidP="00B23C5A">
      <w:pPr>
        <w:widowControl w:val="0"/>
        <w:spacing w:line="479" w:lineRule="atLeast"/>
        <w:jc w:val="center"/>
        <w:rPr>
          <w:b/>
          <w:caps/>
        </w:rPr>
      </w:pPr>
      <w:r>
        <w:rPr>
          <w:noProof/>
          <w:lang w:eastAsia="it-IT"/>
        </w:rPr>
        <w:drawing>
          <wp:inline distT="0" distB="0" distL="0" distR="0" wp14:anchorId="51C63CB1" wp14:editId="3D133834">
            <wp:extent cx="771525" cy="781050"/>
            <wp:effectExtent l="0" t="0" r="9525" b="0"/>
            <wp:docPr id="1" name="Immagine 1" descr="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781050"/>
                    </a:xfrm>
                    <a:prstGeom prst="rect">
                      <a:avLst/>
                    </a:prstGeom>
                    <a:noFill/>
                    <a:ln>
                      <a:noFill/>
                    </a:ln>
                  </pic:spPr>
                </pic:pic>
              </a:graphicData>
            </a:graphic>
          </wp:inline>
        </w:drawing>
      </w:r>
    </w:p>
    <w:p w14:paraId="421BE426" w14:textId="77777777" w:rsidR="00B23C5A" w:rsidRDefault="00B23C5A" w:rsidP="00B23C5A">
      <w:pPr>
        <w:widowControl w:val="0"/>
        <w:spacing w:line="479" w:lineRule="atLeast"/>
        <w:jc w:val="center"/>
        <w:rPr>
          <w:b/>
          <w:caps/>
        </w:rPr>
      </w:pPr>
      <w:r w:rsidRPr="005C62B6">
        <w:rPr>
          <w:b/>
          <w:caps/>
        </w:rPr>
        <w:t>TRIBUNALE ORDINARIO DI GENOVA</w:t>
      </w:r>
    </w:p>
    <w:p w14:paraId="430C61FC" w14:textId="77777777" w:rsidR="00B23C5A" w:rsidRPr="005C62B6" w:rsidRDefault="00B23C5A" w:rsidP="00B23C5A">
      <w:pPr>
        <w:widowControl w:val="0"/>
        <w:spacing w:line="479" w:lineRule="atLeast"/>
        <w:jc w:val="center"/>
        <w:rPr>
          <w:b/>
          <w:caps/>
        </w:rPr>
      </w:pPr>
      <w:r>
        <w:rPr>
          <w:b/>
          <w:caps/>
        </w:rPr>
        <w:t>SEZIONE II CIVILE</w:t>
      </w:r>
    </w:p>
    <w:p w14:paraId="4D17E28D" w14:textId="77777777" w:rsidR="00B23C5A" w:rsidRDefault="00B23C5A" w:rsidP="00B23C5A">
      <w:pPr>
        <w:widowControl w:val="0"/>
        <w:spacing w:line="479" w:lineRule="atLeast"/>
        <w:jc w:val="center"/>
        <w:rPr>
          <w:b/>
          <w:caps/>
        </w:rPr>
      </w:pPr>
    </w:p>
    <w:p w14:paraId="285B2B8B" w14:textId="77777777" w:rsidR="00B23C5A" w:rsidRDefault="00B23C5A" w:rsidP="00B23C5A">
      <w:pPr>
        <w:pStyle w:val="Titolo"/>
        <w:jc w:val="center"/>
        <w:rPr>
          <w:sz w:val="44"/>
          <w:szCs w:val="44"/>
        </w:rPr>
      </w:pPr>
      <w:r>
        <w:rPr>
          <w:sz w:val="44"/>
          <w:szCs w:val="44"/>
        </w:rPr>
        <w:t>Indirizzi giurisprudenziali</w:t>
      </w:r>
    </w:p>
    <w:p w14:paraId="4CA231B0" w14:textId="77777777" w:rsidR="00B23C5A" w:rsidRDefault="00B23C5A" w:rsidP="00B23C5A">
      <w:pPr>
        <w:pStyle w:val="Titolo"/>
        <w:jc w:val="center"/>
        <w:rPr>
          <w:sz w:val="44"/>
          <w:szCs w:val="44"/>
        </w:rPr>
      </w:pPr>
      <w:r>
        <w:rPr>
          <w:sz w:val="44"/>
          <w:szCs w:val="44"/>
        </w:rPr>
        <w:t>Discussi in sede di riunione</w:t>
      </w:r>
    </w:p>
    <w:p w14:paraId="0558FDA4" w14:textId="77777777" w:rsidR="00B23C5A" w:rsidRDefault="00B23C5A" w:rsidP="00B23C5A">
      <w:pPr>
        <w:pStyle w:val="Titolo"/>
        <w:jc w:val="center"/>
        <w:rPr>
          <w:sz w:val="44"/>
          <w:szCs w:val="44"/>
        </w:rPr>
      </w:pPr>
      <w:r>
        <w:rPr>
          <w:sz w:val="44"/>
          <w:szCs w:val="44"/>
        </w:rPr>
        <w:t>Ex art. 47 Ordinamento Giudiziario</w:t>
      </w:r>
    </w:p>
    <w:p w14:paraId="420721BE" w14:textId="77777777" w:rsidR="00B23C5A" w:rsidRPr="00B23C5A" w:rsidRDefault="00B23C5A" w:rsidP="00B23C5A">
      <w:pPr>
        <w:pStyle w:val="Titolo"/>
        <w:jc w:val="center"/>
      </w:pPr>
    </w:p>
    <w:p w14:paraId="26A65376" w14:textId="77777777" w:rsidR="00B23C5A" w:rsidRDefault="00B23C5A" w:rsidP="00B23C5A">
      <w:pPr>
        <w:rPr>
          <w:lang w:eastAsia="it-IT"/>
        </w:rPr>
      </w:pPr>
    </w:p>
    <w:p w14:paraId="55DC9CC0" w14:textId="77777777" w:rsidR="00B23C5A" w:rsidRDefault="00B23C5A" w:rsidP="00B23C5A">
      <w:pPr>
        <w:rPr>
          <w:lang w:eastAsia="it-IT"/>
        </w:rPr>
      </w:pPr>
    </w:p>
    <w:p w14:paraId="0B764526" w14:textId="77777777" w:rsidR="00B23C5A" w:rsidRDefault="00B23C5A" w:rsidP="00B23C5A">
      <w:pPr>
        <w:pStyle w:val="Titolo"/>
        <w:jc w:val="center"/>
        <w:rPr>
          <w:sz w:val="44"/>
          <w:szCs w:val="44"/>
        </w:rPr>
      </w:pPr>
      <w:r w:rsidRPr="00B23C5A">
        <w:rPr>
          <w:sz w:val="44"/>
          <w:szCs w:val="44"/>
        </w:rPr>
        <w:t xml:space="preserve">ACCERTAMENTO TECNICO PREVENTIVO </w:t>
      </w:r>
    </w:p>
    <w:p w14:paraId="53477CA6" w14:textId="77777777" w:rsidR="00B23C5A" w:rsidRPr="00B23C5A" w:rsidRDefault="00B23C5A" w:rsidP="00B23C5A">
      <w:pPr>
        <w:pStyle w:val="Titolo"/>
        <w:jc w:val="center"/>
        <w:rPr>
          <w:sz w:val="44"/>
          <w:szCs w:val="44"/>
        </w:rPr>
      </w:pPr>
      <w:r w:rsidRPr="00B23C5A">
        <w:rPr>
          <w:sz w:val="44"/>
          <w:szCs w:val="44"/>
        </w:rPr>
        <w:t xml:space="preserve">EX ART. 696bis </w:t>
      </w:r>
      <w:proofErr w:type="spellStart"/>
      <w:r w:rsidRPr="00B23C5A">
        <w:rPr>
          <w:sz w:val="44"/>
          <w:szCs w:val="44"/>
        </w:rPr>
        <w:t>s.s.</w:t>
      </w:r>
      <w:proofErr w:type="spellEnd"/>
      <w:r w:rsidRPr="00B23C5A">
        <w:rPr>
          <w:sz w:val="44"/>
          <w:szCs w:val="44"/>
        </w:rPr>
        <w:t xml:space="preserve"> </w:t>
      </w:r>
      <w:proofErr w:type="spellStart"/>
      <w:r w:rsidRPr="00B23C5A">
        <w:rPr>
          <w:sz w:val="44"/>
          <w:szCs w:val="44"/>
        </w:rPr>
        <w:t>cpc</w:t>
      </w:r>
      <w:proofErr w:type="spellEnd"/>
      <w:r w:rsidRPr="00B23C5A">
        <w:rPr>
          <w:sz w:val="44"/>
          <w:szCs w:val="44"/>
        </w:rPr>
        <w:t>.</w:t>
      </w:r>
      <w:r>
        <w:rPr>
          <w:sz w:val="44"/>
          <w:szCs w:val="44"/>
        </w:rPr>
        <w:t xml:space="preserve"> in materia di responsabilità sanitaria</w:t>
      </w:r>
    </w:p>
    <w:p w14:paraId="7885CED5" w14:textId="3A75F57A" w:rsidR="00910B3D" w:rsidRPr="00910B3D" w:rsidRDefault="00910B3D" w:rsidP="00910B3D">
      <w:pPr>
        <w:pStyle w:val="Titolosommario"/>
        <w:jc w:val="right"/>
        <w:rPr>
          <w:rFonts w:ascii="Times New Roman" w:eastAsiaTheme="minorHAnsi" w:hAnsi="Times New Roman" w:cs="Times New Roman"/>
          <w:b/>
          <w:color w:val="auto"/>
          <w:sz w:val="22"/>
          <w:szCs w:val="22"/>
          <w:lang w:eastAsia="en-US"/>
        </w:rPr>
      </w:pPr>
      <w:r w:rsidRPr="00910B3D">
        <w:rPr>
          <w:rFonts w:ascii="Times New Roman" w:eastAsiaTheme="minorHAnsi" w:hAnsi="Times New Roman" w:cs="Times New Roman"/>
          <w:b/>
          <w:color w:val="auto"/>
          <w:sz w:val="22"/>
          <w:szCs w:val="22"/>
          <w:lang w:eastAsia="en-US"/>
        </w:rPr>
        <w:t xml:space="preserve">Versione </w:t>
      </w:r>
      <w:r w:rsidR="002A3C72">
        <w:rPr>
          <w:rFonts w:ascii="Times New Roman" w:eastAsiaTheme="minorHAnsi" w:hAnsi="Times New Roman" w:cs="Times New Roman"/>
          <w:b/>
          <w:color w:val="auto"/>
          <w:sz w:val="22"/>
          <w:szCs w:val="22"/>
          <w:lang w:eastAsia="en-US"/>
        </w:rPr>
        <w:t xml:space="preserve">1.1. </w:t>
      </w:r>
      <w:r w:rsidRPr="00910B3D">
        <w:rPr>
          <w:rFonts w:ascii="Times New Roman" w:eastAsiaTheme="minorHAnsi" w:hAnsi="Times New Roman" w:cs="Times New Roman"/>
          <w:b/>
          <w:color w:val="auto"/>
          <w:sz w:val="22"/>
          <w:szCs w:val="22"/>
          <w:lang w:eastAsia="en-US"/>
        </w:rPr>
        <w:t>1</w:t>
      </w:r>
      <w:r w:rsidR="002A3C72">
        <w:rPr>
          <w:rFonts w:ascii="Times New Roman" w:eastAsiaTheme="minorHAnsi" w:hAnsi="Times New Roman" w:cs="Times New Roman"/>
          <w:b/>
          <w:color w:val="auto"/>
          <w:sz w:val="22"/>
          <w:szCs w:val="22"/>
          <w:lang w:eastAsia="en-US"/>
        </w:rPr>
        <w:t xml:space="preserve">0 dicembre </w:t>
      </w:r>
      <w:bookmarkStart w:id="1" w:name="_GoBack"/>
      <w:bookmarkEnd w:id="1"/>
      <w:r w:rsidRPr="00910B3D">
        <w:rPr>
          <w:rFonts w:ascii="Times New Roman" w:eastAsiaTheme="minorHAnsi" w:hAnsi="Times New Roman" w:cs="Times New Roman"/>
          <w:b/>
          <w:color w:val="auto"/>
          <w:sz w:val="22"/>
          <w:szCs w:val="22"/>
          <w:lang w:eastAsia="en-US"/>
        </w:rPr>
        <w:t>2019</w:t>
      </w:r>
    </w:p>
    <w:sdt>
      <w:sdtPr>
        <w:rPr>
          <w:rFonts w:asciiTheme="minorHAnsi" w:eastAsiaTheme="minorHAnsi" w:hAnsiTheme="minorHAnsi" w:cstheme="minorBidi"/>
          <w:color w:val="auto"/>
          <w:sz w:val="24"/>
          <w:szCs w:val="24"/>
          <w:lang w:eastAsia="en-US"/>
        </w:rPr>
        <w:id w:val="568473814"/>
        <w:docPartObj>
          <w:docPartGallery w:val="Table of Contents"/>
          <w:docPartUnique/>
        </w:docPartObj>
      </w:sdtPr>
      <w:sdtEndPr>
        <w:rPr>
          <w:b/>
          <w:bCs/>
        </w:rPr>
      </w:sdtEndPr>
      <w:sdtContent>
        <w:p w14:paraId="405CBC1D" w14:textId="77777777" w:rsidR="000F08B9" w:rsidRDefault="000F08B9">
          <w:pPr>
            <w:pStyle w:val="Titolosommario"/>
          </w:pPr>
          <w:r>
            <w:t>Sommario</w:t>
          </w:r>
        </w:p>
        <w:p w14:paraId="757DBD4D" w14:textId="4CD0D4D4" w:rsidR="002A3C72" w:rsidRDefault="000F08B9">
          <w:pPr>
            <w:pStyle w:val="Sommario1"/>
            <w:tabs>
              <w:tab w:val="left" w:pos="440"/>
              <w:tab w:val="right" w:leader="dot" w:pos="9628"/>
            </w:tabs>
            <w:rPr>
              <w:rFonts w:eastAsiaTheme="minorEastAsia"/>
              <w:noProof/>
              <w:sz w:val="22"/>
              <w:szCs w:val="22"/>
              <w:lang w:eastAsia="it-IT"/>
            </w:rPr>
          </w:pPr>
          <w:r>
            <w:fldChar w:fldCharType="begin"/>
          </w:r>
          <w:r>
            <w:instrText xml:space="preserve"> TOC \o "1-3" \h \z \u </w:instrText>
          </w:r>
          <w:r>
            <w:fldChar w:fldCharType="separate"/>
          </w:r>
          <w:hyperlink w:anchor="_Toc26897764" w:history="1">
            <w:r w:rsidR="002A3C72" w:rsidRPr="002C0756">
              <w:rPr>
                <w:rStyle w:val="Collegamentoipertestuale"/>
                <w:noProof/>
              </w:rPr>
              <w:t>1.</w:t>
            </w:r>
            <w:r w:rsidR="002A3C72">
              <w:rPr>
                <w:rFonts w:eastAsiaTheme="minorEastAsia"/>
                <w:noProof/>
                <w:sz w:val="22"/>
                <w:szCs w:val="22"/>
                <w:lang w:eastAsia="it-IT"/>
              </w:rPr>
              <w:tab/>
            </w:r>
            <w:r w:rsidR="002A3C72" w:rsidRPr="002C0756">
              <w:rPr>
                <w:rStyle w:val="Collegamentoipertestuale"/>
                <w:noProof/>
              </w:rPr>
              <w:t>Accertamento tecnico-preventivo ex art. 696-bis s.s. c.p.c.</w:t>
            </w:r>
            <w:r w:rsidR="002A3C72">
              <w:rPr>
                <w:noProof/>
                <w:webHidden/>
              </w:rPr>
              <w:tab/>
            </w:r>
            <w:r w:rsidR="002A3C72">
              <w:rPr>
                <w:noProof/>
                <w:webHidden/>
              </w:rPr>
              <w:fldChar w:fldCharType="begin"/>
            </w:r>
            <w:r w:rsidR="002A3C72">
              <w:rPr>
                <w:noProof/>
                <w:webHidden/>
              </w:rPr>
              <w:instrText xml:space="preserve"> PAGEREF _Toc26897764 \h </w:instrText>
            </w:r>
            <w:r w:rsidR="002A3C72">
              <w:rPr>
                <w:noProof/>
                <w:webHidden/>
              </w:rPr>
            </w:r>
            <w:r w:rsidR="002A3C72">
              <w:rPr>
                <w:noProof/>
                <w:webHidden/>
              </w:rPr>
              <w:fldChar w:fldCharType="separate"/>
            </w:r>
            <w:r w:rsidR="002A3C72">
              <w:rPr>
                <w:noProof/>
                <w:webHidden/>
              </w:rPr>
              <w:t>2</w:t>
            </w:r>
            <w:r w:rsidR="002A3C72">
              <w:rPr>
                <w:noProof/>
                <w:webHidden/>
              </w:rPr>
              <w:fldChar w:fldCharType="end"/>
            </w:r>
          </w:hyperlink>
        </w:p>
        <w:p w14:paraId="73D4399E" w14:textId="56AB1AA9" w:rsidR="002A3C72" w:rsidRDefault="002A3C72">
          <w:pPr>
            <w:pStyle w:val="Sommario2"/>
            <w:tabs>
              <w:tab w:val="left" w:pos="880"/>
              <w:tab w:val="right" w:leader="dot" w:pos="9628"/>
            </w:tabs>
            <w:rPr>
              <w:rFonts w:eastAsiaTheme="minorEastAsia"/>
              <w:noProof/>
              <w:sz w:val="22"/>
              <w:szCs w:val="22"/>
              <w:lang w:eastAsia="it-IT"/>
            </w:rPr>
          </w:pPr>
          <w:hyperlink w:anchor="_Toc26897765" w:history="1">
            <w:r w:rsidRPr="002C0756">
              <w:rPr>
                <w:rStyle w:val="Collegamentoipertestuale"/>
                <w:noProof/>
              </w:rPr>
              <w:t>1.1.</w:t>
            </w:r>
            <w:r>
              <w:rPr>
                <w:rFonts w:eastAsiaTheme="minorEastAsia"/>
                <w:noProof/>
                <w:sz w:val="22"/>
                <w:szCs w:val="22"/>
                <w:lang w:eastAsia="it-IT"/>
              </w:rPr>
              <w:tab/>
            </w:r>
            <w:r w:rsidRPr="002C0756">
              <w:rPr>
                <w:rStyle w:val="Collegamentoipertestuale"/>
                <w:noProof/>
              </w:rPr>
              <w:t>Modifica dei quesiti proposti dall’attore in sede di atp.</w:t>
            </w:r>
            <w:r>
              <w:rPr>
                <w:noProof/>
                <w:webHidden/>
              </w:rPr>
              <w:tab/>
            </w:r>
            <w:r>
              <w:rPr>
                <w:noProof/>
                <w:webHidden/>
              </w:rPr>
              <w:fldChar w:fldCharType="begin"/>
            </w:r>
            <w:r>
              <w:rPr>
                <w:noProof/>
                <w:webHidden/>
              </w:rPr>
              <w:instrText xml:space="preserve"> PAGEREF _Toc26897765 \h </w:instrText>
            </w:r>
            <w:r>
              <w:rPr>
                <w:noProof/>
                <w:webHidden/>
              </w:rPr>
            </w:r>
            <w:r>
              <w:rPr>
                <w:noProof/>
                <w:webHidden/>
              </w:rPr>
              <w:fldChar w:fldCharType="separate"/>
            </w:r>
            <w:r>
              <w:rPr>
                <w:noProof/>
                <w:webHidden/>
              </w:rPr>
              <w:t>2</w:t>
            </w:r>
            <w:r>
              <w:rPr>
                <w:noProof/>
                <w:webHidden/>
              </w:rPr>
              <w:fldChar w:fldCharType="end"/>
            </w:r>
          </w:hyperlink>
        </w:p>
        <w:p w14:paraId="2FB34BF9" w14:textId="1B0CBCE9" w:rsidR="002A3C72" w:rsidRDefault="002A3C72">
          <w:pPr>
            <w:pStyle w:val="Sommario2"/>
            <w:tabs>
              <w:tab w:val="left" w:pos="880"/>
              <w:tab w:val="right" w:leader="dot" w:pos="9628"/>
            </w:tabs>
            <w:rPr>
              <w:rFonts w:eastAsiaTheme="minorEastAsia"/>
              <w:noProof/>
              <w:sz w:val="22"/>
              <w:szCs w:val="22"/>
              <w:lang w:eastAsia="it-IT"/>
            </w:rPr>
          </w:pPr>
          <w:hyperlink w:anchor="_Toc26897766" w:history="1">
            <w:r w:rsidRPr="002C0756">
              <w:rPr>
                <w:rStyle w:val="Collegamentoipertestuale"/>
                <w:noProof/>
              </w:rPr>
              <w:t>1.2.</w:t>
            </w:r>
            <w:r>
              <w:rPr>
                <w:rFonts w:eastAsiaTheme="minorEastAsia"/>
                <w:noProof/>
                <w:sz w:val="22"/>
                <w:szCs w:val="22"/>
                <w:lang w:eastAsia="it-IT"/>
              </w:rPr>
              <w:tab/>
            </w:r>
            <w:r w:rsidRPr="002C0756">
              <w:rPr>
                <w:rStyle w:val="Collegamentoipertestuale"/>
                <w:noProof/>
              </w:rPr>
              <w:t>Chiamate in sede ATP.</w:t>
            </w:r>
            <w:r>
              <w:rPr>
                <w:noProof/>
                <w:webHidden/>
              </w:rPr>
              <w:tab/>
            </w:r>
            <w:r>
              <w:rPr>
                <w:noProof/>
                <w:webHidden/>
              </w:rPr>
              <w:fldChar w:fldCharType="begin"/>
            </w:r>
            <w:r>
              <w:rPr>
                <w:noProof/>
                <w:webHidden/>
              </w:rPr>
              <w:instrText xml:space="preserve"> PAGEREF _Toc26897766 \h </w:instrText>
            </w:r>
            <w:r>
              <w:rPr>
                <w:noProof/>
                <w:webHidden/>
              </w:rPr>
            </w:r>
            <w:r>
              <w:rPr>
                <w:noProof/>
                <w:webHidden/>
              </w:rPr>
              <w:fldChar w:fldCharType="separate"/>
            </w:r>
            <w:r>
              <w:rPr>
                <w:noProof/>
                <w:webHidden/>
              </w:rPr>
              <w:t>3</w:t>
            </w:r>
            <w:r>
              <w:rPr>
                <w:noProof/>
                <w:webHidden/>
              </w:rPr>
              <w:fldChar w:fldCharType="end"/>
            </w:r>
          </w:hyperlink>
        </w:p>
        <w:p w14:paraId="0C7666C1" w14:textId="23B61C1C" w:rsidR="002A3C72" w:rsidRDefault="002A3C72">
          <w:pPr>
            <w:pStyle w:val="Sommario2"/>
            <w:tabs>
              <w:tab w:val="left" w:pos="880"/>
              <w:tab w:val="right" w:leader="dot" w:pos="9628"/>
            </w:tabs>
            <w:rPr>
              <w:rFonts w:eastAsiaTheme="minorEastAsia"/>
              <w:noProof/>
              <w:sz w:val="22"/>
              <w:szCs w:val="22"/>
              <w:lang w:eastAsia="it-IT"/>
            </w:rPr>
          </w:pPr>
          <w:hyperlink w:anchor="_Toc26897767" w:history="1">
            <w:r w:rsidRPr="002C0756">
              <w:rPr>
                <w:rStyle w:val="Collegamentoipertestuale"/>
                <w:noProof/>
              </w:rPr>
              <w:t>1.3.</w:t>
            </w:r>
            <w:r>
              <w:rPr>
                <w:rFonts w:eastAsiaTheme="minorEastAsia"/>
                <w:noProof/>
                <w:sz w:val="22"/>
                <w:szCs w:val="22"/>
                <w:lang w:eastAsia="it-IT"/>
              </w:rPr>
              <w:tab/>
            </w:r>
            <w:r w:rsidRPr="002C0756">
              <w:rPr>
                <w:rStyle w:val="Collegamentoipertestuale"/>
                <w:noProof/>
              </w:rPr>
              <w:t>Designazione del CTU del merito e coincidenza con il CTU dell’ATP</w:t>
            </w:r>
            <w:r>
              <w:rPr>
                <w:noProof/>
                <w:webHidden/>
              </w:rPr>
              <w:tab/>
            </w:r>
            <w:r>
              <w:rPr>
                <w:noProof/>
                <w:webHidden/>
              </w:rPr>
              <w:fldChar w:fldCharType="begin"/>
            </w:r>
            <w:r>
              <w:rPr>
                <w:noProof/>
                <w:webHidden/>
              </w:rPr>
              <w:instrText xml:space="preserve"> PAGEREF _Toc26897767 \h </w:instrText>
            </w:r>
            <w:r>
              <w:rPr>
                <w:noProof/>
                <w:webHidden/>
              </w:rPr>
            </w:r>
            <w:r>
              <w:rPr>
                <w:noProof/>
                <w:webHidden/>
              </w:rPr>
              <w:fldChar w:fldCharType="separate"/>
            </w:r>
            <w:r>
              <w:rPr>
                <w:noProof/>
                <w:webHidden/>
              </w:rPr>
              <w:t>3</w:t>
            </w:r>
            <w:r>
              <w:rPr>
                <w:noProof/>
                <w:webHidden/>
              </w:rPr>
              <w:fldChar w:fldCharType="end"/>
            </w:r>
          </w:hyperlink>
        </w:p>
        <w:p w14:paraId="35509EAE" w14:textId="02358B54" w:rsidR="002A3C72" w:rsidRDefault="002A3C72">
          <w:pPr>
            <w:pStyle w:val="Sommario2"/>
            <w:tabs>
              <w:tab w:val="left" w:pos="880"/>
              <w:tab w:val="right" w:leader="dot" w:pos="9628"/>
            </w:tabs>
            <w:rPr>
              <w:rFonts w:eastAsiaTheme="minorEastAsia"/>
              <w:noProof/>
              <w:sz w:val="22"/>
              <w:szCs w:val="22"/>
              <w:lang w:eastAsia="it-IT"/>
            </w:rPr>
          </w:pPr>
          <w:hyperlink w:anchor="_Toc26897768" w:history="1">
            <w:r w:rsidRPr="002C0756">
              <w:rPr>
                <w:rStyle w:val="Collegamentoipertestuale"/>
                <w:noProof/>
              </w:rPr>
              <w:t>1.4.</w:t>
            </w:r>
            <w:r>
              <w:rPr>
                <w:rFonts w:eastAsiaTheme="minorEastAsia"/>
                <w:noProof/>
                <w:sz w:val="22"/>
                <w:szCs w:val="22"/>
                <w:lang w:eastAsia="it-IT"/>
              </w:rPr>
              <w:tab/>
            </w:r>
            <w:r w:rsidRPr="002C0756">
              <w:rPr>
                <w:rStyle w:val="Collegamentoipertestuale"/>
                <w:noProof/>
              </w:rPr>
              <w:t>Termini per la fissazione dell’udienza di conferimento incarico Atp:</w:t>
            </w:r>
            <w:r>
              <w:rPr>
                <w:noProof/>
                <w:webHidden/>
              </w:rPr>
              <w:tab/>
            </w:r>
            <w:r>
              <w:rPr>
                <w:noProof/>
                <w:webHidden/>
              </w:rPr>
              <w:fldChar w:fldCharType="begin"/>
            </w:r>
            <w:r>
              <w:rPr>
                <w:noProof/>
                <w:webHidden/>
              </w:rPr>
              <w:instrText xml:space="preserve"> PAGEREF _Toc26897768 \h </w:instrText>
            </w:r>
            <w:r>
              <w:rPr>
                <w:noProof/>
                <w:webHidden/>
              </w:rPr>
            </w:r>
            <w:r>
              <w:rPr>
                <w:noProof/>
                <w:webHidden/>
              </w:rPr>
              <w:fldChar w:fldCharType="separate"/>
            </w:r>
            <w:r>
              <w:rPr>
                <w:noProof/>
                <w:webHidden/>
              </w:rPr>
              <w:t>4</w:t>
            </w:r>
            <w:r>
              <w:rPr>
                <w:noProof/>
                <w:webHidden/>
              </w:rPr>
              <w:fldChar w:fldCharType="end"/>
            </w:r>
          </w:hyperlink>
        </w:p>
        <w:p w14:paraId="70E44543" w14:textId="35F83A85" w:rsidR="002A3C72" w:rsidRDefault="002A3C72">
          <w:pPr>
            <w:pStyle w:val="Sommario2"/>
            <w:tabs>
              <w:tab w:val="left" w:pos="880"/>
              <w:tab w:val="right" w:leader="dot" w:pos="9628"/>
            </w:tabs>
            <w:rPr>
              <w:rFonts w:eastAsiaTheme="minorEastAsia"/>
              <w:noProof/>
              <w:sz w:val="22"/>
              <w:szCs w:val="22"/>
              <w:lang w:eastAsia="it-IT"/>
            </w:rPr>
          </w:pPr>
          <w:hyperlink w:anchor="_Toc26897769" w:history="1">
            <w:r w:rsidRPr="002C0756">
              <w:rPr>
                <w:rStyle w:val="Collegamentoipertestuale"/>
                <w:noProof/>
              </w:rPr>
              <w:t>1.5.</w:t>
            </w:r>
            <w:r>
              <w:rPr>
                <w:rFonts w:eastAsiaTheme="minorEastAsia"/>
                <w:noProof/>
                <w:sz w:val="22"/>
                <w:szCs w:val="22"/>
                <w:lang w:eastAsia="it-IT"/>
              </w:rPr>
              <w:tab/>
            </w:r>
            <w:r w:rsidRPr="002C0756">
              <w:rPr>
                <w:rStyle w:val="Collegamentoipertestuale"/>
                <w:noProof/>
              </w:rPr>
              <w:t>Termini per la CTU</w:t>
            </w:r>
            <w:r>
              <w:rPr>
                <w:noProof/>
                <w:webHidden/>
              </w:rPr>
              <w:tab/>
            </w:r>
            <w:r>
              <w:rPr>
                <w:noProof/>
                <w:webHidden/>
              </w:rPr>
              <w:fldChar w:fldCharType="begin"/>
            </w:r>
            <w:r>
              <w:rPr>
                <w:noProof/>
                <w:webHidden/>
              </w:rPr>
              <w:instrText xml:space="preserve"> PAGEREF _Toc26897769 \h </w:instrText>
            </w:r>
            <w:r>
              <w:rPr>
                <w:noProof/>
                <w:webHidden/>
              </w:rPr>
            </w:r>
            <w:r>
              <w:rPr>
                <w:noProof/>
                <w:webHidden/>
              </w:rPr>
              <w:fldChar w:fldCharType="separate"/>
            </w:r>
            <w:r>
              <w:rPr>
                <w:noProof/>
                <w:webHidden/>
              </w:rPr>
              <w:t>5</w:t>
            </w:r>
            <w:r>
              <w:rPr>
                <w:noProof/>
                <w:webHidden/>
              </w:rPr>
              <w:fldChar w:fldCharType="end"/>
            </w:r>
          </w:hyperlink>
        </w:p>
        <w:p w14:paraId="777A3A8C" w14:textId="4BF0F1EC" w:rsidR="000F08B9" w:rsidRDefault="000F08B9">
          <w:r>
            <w:rPr>
              <w:b/>
              <w:bCs/>
            </w:rPr>
            <w:fldChar w:fldCharType="end"/>
          </w:r>
        </w:p>
      </w:sdtContent>
    </w:sdt>
    <w:p w14:paraId="27250DBD" w14:textId="77777777" w:rsidR="00B23C5A" w:rsidRDefault="00B23C5A">
      <w:pPr>
        <w:spacing w:after="160" w:line="259" w:lineRule="auto"/>
      </w:pPr>
      <w:r>
        <w:br w:type="page"/>
      </w:r>
    </w:p>
    <w:p w14:paraId="538CCF52" w14:textId="77777777" w:rsidR="00B23C5A" w:rsidRPr="00AF67A5" w:rsidRDefault="00B23C5A" w:rsidP="00B23C5A">
      <w:pPr>
        <w:pStyle w:val="Titolo1"/>
        <w:numPr>
          <w:ilvl w:val="0"/>
          <w:numId w:val="2"/>
        </w:numPr>
      </w:pPr>
      <w:bookmarkStart w:id="2" w:name="_Toc26897764"/>
      <w:r w:rsidRPr="00AF67A5">
        <w:lastRenderedPageBreak/>
        <w:t xml:space="preserve">Accertamento tecnico-preventivo ex art. 696-bis </w:t>
      </w:r>
      <w:proofErr w:type="spellStart"/>
      <w:r w:rsidRPr="00AF67A5">
        <w:t>s.s.</w:t>
      </w:r>
      <w:proofErr w:type="spellEnd"/>
      <w:r w:rsidRPr="00AF67A5">
        <w:t xml:space="preserve"> c.p.c.</w:t>
      </w:r>
      <w:bookmarkEnd w:id="0"/>
      <w:bookmarkEnd w:id="2"/>
      <w:r w:rsidRPr="00AF67A5">
        <w:t xml:space="preserve"> </w:t>
      </w:r>
    </w:p>
    <w:p w14:paraId="5BFA5773" w14:textId="77777777" w:rsidR="00B23C5A" w:rsidRPr="00AF67A5" w:rsidRDefault="00B23C5A" w:rsidP="00B23C5A">
      <w:pPr>
        <w:spacing w:line="360" w:lineRule="auto"/>
        <w:ind w:left="360"/>
        <w:jc w:val="both"/>
        <w:rPr>
          <w:rFonts w:ascii="Times New Roman" w:hAnsi="Times New Roman" w:cs="Times New Roman"/>
          <w:sz w:val="26"/>
          <w:szCs w:val="26"/>
        </w:rPr>
      </w:pPr>
    </w:p>
    <w:p w14:paraId="2DF9CEBD" w14:textId="77777777" w:rsidR="00B23C5A" w:rsidRPr="0014606E" w:rsidRDefault="00B23C5A" w:rsidP="00B23C5A">
      <w:pPr>
        <w:pStyle w:val="Titolo2"/>
        <w:numPr>
          <w:ilvl w:val="1"/>
          <w:numId w:val="2"/>
        </w:numPr>
      </w:pPr>
      <w:bookmarkStart w:id="3" w:name="_Toc13051017"/>
      <w:bookmarkStart w:id="4" w:name="_Toc26897765"/>
      <w:r w:rsidRPr="0014606E">
        <w:t xml:space="preserve">Modifica dei quesiti proposti dall’attore in sede di </w:t>
      </w:r>
      <w:proofErr w:type="spellStart"/>
      <w:r w:rsidRPr="0014606E">
        <w:t>atp</w:t>
      </w:r>
      <w:proofErr w:type="spellEnd"/>
      <w:r w:rsidRPr="0014606E">
        <w:t>.</w:t>
      </w:r>
      <w:bookmarkEnd w:id="3"/>
      <w:bookmarkEnd w:id="4"/>
      <w:r w:rsidRPr="0014606E">
        <w:t xml:space="preserve"> </w:t>
      </w:r>
    </w:p>
    <w:p w14:paraId="637CFB14" w14:textId="77777777" w:rsidR="00B23C5A" w:rsidRDefault="00B23C5A" w:rsidP="00B23C5A">
      <w:pPr>
        <w:spacing w:line="360" w:lineRule="auto"/>
        <w:jc w:val="both"/>
        <w:rPr>
          <w:rFonts w:ascii="Times New Roman" w:hAnsi="Times New Roman" w:cs="Times New Roman"/>
          <w:sz w:val="26"/>
          <w:szCs w:val="26"/>
        </w:rPr>
      </w:pPr>
    </w:p>
    <w:p w14:paraId="4CB926FA" w14:textId="73A84AA8" w:rsidR="00B23C5A" w:rsidRDefault="00B23C5A" w:rsidP="00B23C5A">
      <w:pPr>
        <w:spacing w:line="360" w:lineRule="auto"/>
        <w:jc w:val="both"/>
        <w:rPr>
          <w:rFonts w:ascii="Times New Roman" w:hAnsi="Times New Roman" w:cs="Times New Roman"/>
          <w:sz w:val="26"/>
          <w:szCs w:val="26"/>
        </w:rPr>
      </w:pPr>
      <w:r>
        <w:rPr>
          <w:rFonts w:ascii="Times New Roman" w:hAnsi="Times New Roman" w:cs="Times New Roman"/>
          <w:sz w:val="26"/>
          <w:szCs w:val="26"/>
        </w:rPr>
        <w:t>Alla luce dei precedenti giurisprudenziali</w:t>
      </w:r>
      <w:r w:rsidR="00B042CD">
        <w:rPr>
          <w:rFonts w:ascii="Times New Roman" w:hAnsi="Times New Roman" w:cs="Times New Roman"/>
          <w:sz w:val="26"/>
          <w:szCs w:val="26"/>
        </w:rPr>
        <w:t>,</w:t>
      </w:r>
      <w:r>
        <w:rPr>
          <w:rFonts w:ascii="Times New Roman" w:hAnsi="Times New Roman" w:cs="Times New Roman"/>
          <w:sz w:val="26"/>
          <w:szCs w:val="26"/>
        </w:rPr>
        <w:t xml:space="preserve"> la seconda sezione ha valutato la possibilità che i </w:t>
      </w:r>
      <w:r w:rsidRPr="00AF67A5">
        <w:rPr>
          <w:rFonts w:ascii="Times New Roman" w:hAnsi="Times New Roman" w:cs="Times New Roman"/>
          <w:sz w:val="26"/>
          <w:szCs w:val="26"/>
        </w:rPr>
        <w:t xml:space="preserve">quesiti proposti in sede di ATP dall’attore </w:t>
      </w:r>
      <w:r w:rsidR="00913ECE" w:rsidRPr="00AF67A5">
        <w:rPr>
          <w:rFonts w:ascii="Times New Roman" w:hAnsi="Times New Roman" w:cs="Times New Roman"/>
          <w:sz w:val="26"/>
          <w:szCs w:val="26"/>
        </w:rPr>
        <w:t>poss</w:t>
      </w:r>
      <w:r w:rsidR="00913ECE">
        <w:rPr>
          <w:rFonts w:ascii="Times New Roman" w:hAnsi="Times New Roman" w:cs="Times New Roman"/>
          <w:sz w:val="26"/>
          <w:szCs w:val="26"/>
        </w:rPr>
        <w:t>a</w:t>
      </w:r>
      <w:r w:rsidR="00913ECE" w:rsidRPr="00AF67A5">
        <w:rPr>
          <w:rFonts w:ascii="Times New Roman" w:hAnsi="Times New Roman" w:cs="Times New Roman"/>
          <w:sz w:val="26"/>
          <w:szCs w:val="26"/>
        </w:rPr>
        <w:t xml:space="preserve">no </w:t>
      </w:r>
      <w:r w:rsidRPr="00AF67A5">
        <w:rPr>
          <w:rFonts w:ascii="Times New Roman" w:hAnsi="Times New Roman" w:cs="Times New Roman"/>
          <w:sz w:val="26"/>
          <w:szCs w:val="26"/>
        </w:rPr>
        <w:t>essere</w:t>
      </w:r>
      <w:r w:rsidR="00913ECE">
        <w:rPr>
          <w:rFonts w:ascii="Times New Roman" w:hAnsi="Times New Roman" w:cs="Times New Roman"/>
          <w:sz w:val="26"/>
          <w:szCs w:val="26"/>
        </w:rPr>
        <w:t>, ove necessario,</w:t>
      </w:r>
      <w:r w:rsidRPr="00AF67A5">
        <w:rPr>
          <w:rFonts w:ascii="Times New Roman" w:hAnsi="Times New Roman" w:cs="Times New Roman"/>
          <w:sz w:val="26"/>
          <w:szCs w:val="26"/>
        </w:rPr>
        <w:t xml:space="preserve"> modificati</w:t>
      </w:r>
      <w:r>
        <w:rPr>
          <w:rFonts w:ascii="Times New Roman" w:hAnsi="Times New Roman" w:cs="Times New Roman"/>
          <w:sz w:val="26"/>
          <w:szCs w:val="26"/>
        </w:rPr>
        <w:t>.</w:t>
      </w:r>
    </w:p>
    <w:p w14:paraId="76191032" w14:textId="0800E58E" w:rsidR="00B23C5A" w:rsidRPr="00AF67A5" w:rsidRDefault="00B23C5A" w:rsidP="00B23C5A">
      <w:pPr>
        <w:spacing w:line="360" w:lineRule="auto"/>
        <w:jc w:val="both"/>
        <w:rPr>
          <w:rFonts w:ascii="Times New Roman" w:hAnsi="Times New Roman" w:cs="Times New Roman"/>
          <w:sz w:val="26"/>
          <w:szCs w:val="26"/>
        </w:rPr>
      </w:pPr>
      <w:r>
        <w:rPr>
          <w:rFonts w:ascii="Times New Roman" w:hAnsi="Times New Roman" w:cs="Times New Roman"/>
          <w:sz w:val="26"/>
          <w:szCs w:val="26"/>
        </w:rPr>
        <w:t>Nell’ambito delle varie pronunce sono</w:t>
      </w:r>
      <w:r w:rsidR="00772E0B">
        <w:rPr>
          <w:rFonts w:ascii="Times New Roman" w:hAnsi="Times New Roman" w:cs="Times New Roman"/>
          <w:sz w:val="26"/>
          <w:szCs w:val="26"/>
        </w:rPr>
        <w:t>, in particolare,</w:t>
      </w:r>
      <w:r>
        <w:rPr>
          <w:rFonts w:ascii="Times New Roman" w:hAnsi="Times New Roman" w:cs="Times New Roman"/>
          <w:sz w:val="26"/>
          <w:szCs w:val="26"/>
        </w:rPr>
        <w:t xml:space="preserve"> emersi i seguenti indirizzi:</w:t>
      </w:r>
    </w:p>
    <w:p w14:paraId="3A8F4407" w14:textId="2B880410" w:rsidR="00B23C5A" w:rsidRDefault="00B23C5A" w:rsidP="00B23C5A">
      <w:pPr>
        <w:pStyle w:val="Paragrafoelenco"/>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Formulare il quesito </w:t>
      </w:r>
      <w:r w:rsidR="00772E0B">
        <w:rPr>
          <w:rFonts w:ascii="Times New Roman" w:hAnsi="Times New Roman" w:cs="Times New Roman"/>
          <w:sz w:val="26"/>
          <w:szCs w:val="26"/>
        </w:rPr>
        <w:t xml:space="preserve">così </w:t>
      </w:r>
      <w:r>
        <w:rPr>
          <w:rFonts w:ascii="Times New Roman" w:hAnsi="Times New Roman" w:cs="Times New Roman"/>
          <w:sz w:val="26"/>
          <w:szCs w:val="26"/>
        </w:rPr>
        <w:t>come proposto dall’attore in quanto la richiesta di ATP è una sua prerogativa e un suo onere (potrebbe in alternativa proporre la mediazione assistita);</w:t>
      </w:r>
    </w:p>
    <w:p w14:paraId="25318FBE" w14:textId="3C830A25" w:rsidR="00B23C5A" w:rsidRDefault="00B23C5A" w:rsidP="00B23C5A">
      <w:pPr>
        <w:pStyle w:val="Paragrafoelenco"/>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Permettere al convenuto di proporre e/o introdurre </w:t>
      </w:r>
      <w:r w:rsidR="00B042CD">
        <w:rPr>
          <w:rFonts w:ascii="Times New Roman" w:hAnsi="Times New Roman" w:cs="Times New Roman"/>
          <w:sz w:val="26"/>
          <w:szCs w:val="26"/>
        </w:rPr>
        <w:t>modifiche</w:t>
      </w:r>
      <w:r>
        <w:rPr>
          <w:rFonts w:ascii="Times New Roman" w:hAnsi="Times New Roman" w:cs="Times New Roman"/>
          <w:sz w:val="26"/>
          <w:szCs w:val="26"/>
        </w:rPr>
        <w:t xml:space="preserve"> al quesito al fine di garantire il diritto </w:t>
      </w:r>
      <w:r w:rsidR="00B042CD">
        <w:rPr>
          <w:rFonts w:ascii="Times New Roman" w:hAnsi="Times New Roman" w:cs="Times New Roman"/>
          <w:sz w:val="26"/>
          <w:szCs w:val="26"/>
        </w:rPr>
        <w:t xml:space="preserve">al contradditorio, </w:t>
      </w:r>
      <w:r>
        <w:rPr>
          <w:rFonts w:ascii="Times New Roman" w:hAnsi="Times New Roman" w:cs="Times New Roman"/>
          <w:sz w:val="26"/>
          <w:szCs w:val="26"/>
        </w:rPr>
        <w:t xml:space="preserve">tenuto conto </w:t>
      </w:r>
      <w:r w:rsidR="00B042CD">
        <w:rPr>
          <w:rFonts w:ascii="Times New Roman" w:hAnsi="Times New Roman" w:cs="Times New Roman"/>
          <w:sz w:val="26"/>
          <w:szCs w:val="26"/>
        </w:rPr>
        <w:t xml:space="preserve">non solo </w:t>
      </w:r>
      <w:r>
        <w:rPr>
          <w:rFonts w:ascii="Times New Roman" w:hAnsi="Times New Roman" w:cs="Times New Roman"/>
          <w:sz w:val="26"/>
          <w:szCs w:val="26"/>
        </w:rPr>
        <w:t xml:space="preserve">della rilevanza che </w:t>
      </w:r>
      <w:r w:rsidR="00772E0B">
        <w:rPr>
          <w:rFonts w:ascii="Times New Roman" w:hAnsi="Times New Roman" w:cs="Times New Roman"/>
          <w:sz w:val="26"/>
          <w:szCs w:val="26"/>
        </w:rPr>
        <w:t xml:space="preserve">l’ATP </w:t>
      </w:r>
      <w:r w:rsidR="00B042CD">
        <w:rPr>
          <w:rFonts w:ascii="Times New Roman" w:hAnsi="Times New Roman" w:cs="Times New Roman"/>
          <w:sz w:val="26"/>
          <w:szCs w:val="26"/>
        </w:rPr>
        <w:t xml:space="preserve">può </w:t>
      </w:r>
      <w:r>
        <w:rPr>
          <w:rFonts w:ascii="Times New Roman" w:hAnsi="Times New Roman" w:cs="Times New Roman"/>
          <w:sz w:val="26"/>
          <w:szCs w:val="26"/>
        </w:rPr>
        <w:t>assume</w:t>
      </w:r>
      <w:r w:rsidR="00B042CD">
        <w:rPr>
          <w:rFonts w:ascii="Times New Roman" w:hAnsi="Times New Roman" w:cs="Times New Roman"/>
          <w:sz w:val="26"/>
          <w:szCs w:val="26"/>
        </w:rPr>
        <w:t>re</w:t>
      </w:r>
      <w:r>
        <w:rPr>
          <w:rFonts w:ascii="Times New Roman" w:hAnsi="Times New Roman" w:cs="Times New Roman"/>
          <w:sz w:val="26"/>
          <w:szCs w:val="26"/>
        </w:rPr>
        <w:t xml:space="preserve"> nel giudizio di merito</w:t>
      </w:r>
      <w:r w:rsidR="00B042CD">
        <w:rPr>
          <w:rFonts w:ascii="Times New Roman" w:hAnsi="Times New Roman" w:cs="Times New Roman"/>
          <w:sz w:val="26"/>
          <w:szCs w:val="26"/>
        </w:rPr>
        <w:t>, ma anche</w:t>
      </w:r>
      <w:r>
        <w:rPr>
          <w:rFonts w:ascii="Times New Roman" w:hAnsi="Times New Roman" w:cs="Times New Roman"/>
          <w:sz w:val="26"/>
          <w:szCs w:val="26"/>
        </w:rPr>
        <w:t xml:space="preserve"> del fatto che un quesito mal formulato può determinare una valutazione incompleta ed inesatta da parte del CTU </w:t>
      </w:r>
      <w:r w:rsidR="00B042CD">
        <w:rPr>
          <w:rFonts w:ascii="Times New Roman" w:hAnsi="Times New Roman" w:cs="Times New Roman"/>
          <w:sz w:val="26"/>
          <w:szCs w:val="26"/>
        </w:rPr>
        <w:t>con conseguente pregiudizio</w:t>
      </w:r>
      <w:r>
        <w:rPr>
          <w:rFonts w:ascii="Times New Roman" w:hAnsi="Times New Roman" w:cs="Times New Roman"/>
          <w:sz w:val="26"/>
          <w:szCs w:val="26"/>
        </w:rPr>
        <w:t xml:space="preserve"> </w:t>
      </w:r>
      <w:r w:rsidR="00B042CD">
        <w:rPr>
          <w:rFonts w:ascii="Times New Roman" w:hAnsi="Times New Roman" w:cs="Times New Roman"/>
          <w:sz w:val="26"/>
          <w:szCs w:val="26"/>
        </w:rPr>
        <w:t>a</w:t>
      </w:r>
      <w:r>
        <w:rPr>
          <w:rFonts w:ascii="Times New Roman" w:hAnsi="Times New Roman" w:cs="Times New Roman"/>
          <w:sz w:val="26"/>
          <w:szCs w:val="26"/>
        </w:rPr>
        <w:t>l diritto alla difesa</w:t>
      </w:r>
      <w:r w:rsidR="00B042CD">
        <w:rPr>
          <w:rFonts w:ascii="Times New Roman" w:hAnsi="Times New Roman" w:cs="Times New Roman"/>
          <w:sz w:val="26"/>
          <w:szCs w:val="26"/>
        </w:rPr>
        <w:t xml:space="preserve"> di parte convenuta</w:t>
      </w:r>
      <w:r>
        <w:rPr>
          <w:rFonts w:ascii="Times New Roman" w:hAnsi="Times New Roman" w:cs="Times New Roman"/>
          <w:sz w:val="26"/>
          <w:szCs w:val="26"/>
        </w:rPr>
        <w:t>;</w:t>
      </w:r>
    </w:p>
    <w:p w14:paraId="05ABCECD" w14:textId="4F4222F2" w:rsidR="00B042CD" w:rsidRPr="00B042CD" w:rsidRDefault="00B042CD" w:rsidP="002A3C72">
      <w:pPr>
        <w:pStyle w:val="Paragrafoelenco"/>
        <w:numPr>
          <w:ilvl w:val="0"/>
          <w:numId w:val="1"/>
        </w:numPr>
        <w:spacing w:line="360" w:lineRule="auto"/>
        <w:jc w:val="both"/>
        <w:rPr>
          <w:rFonts w:ascii="Times New Roman" w:hAnsi="Times New Roman" w:cs="Times New Roman"/>
          <w:sz w:val="26"/>
          <w:szCs w:val="26"/>
        </w:rPr>
      </w:pPr>
      <w:r w:rsidRPr="00B042CD">
        <w:rPr>
          <w:rFonts w:ascii="Times New Roman" w:hAnsi="Times New Roman" w:cs="Times New Roman"/>
          <w:sz w:val="26"/>
          <w:szCs w:val="26"/>
        </w:rPr>
        <w:t xml:space="preserve">Permettere al Giudice di intervenire </w:t>
      </w:r>
      <w:r w:rsidRPr="002A3C72">
        <w:rPr>
          <w:rFonts w:ascii="Times New Roman" w:hAnsi="Times New Roman" w:cs="Times New Roman"/>
          <w:i/>
          <w:sz w:val="26"/>
          <w:szCs w:val="26"/>
        </w:rPr>
        <w:t>ex officio</w:t>
      </w:r>
      <w:r w:rsidRPr="00B042CD">
        <w:rPr>
          <w:rFonts w:ascii="Times New Roman" w:hAnsi="Times New Roman" w:cs="Times New Roman"/>
          <w:sz w:val="26"/>
          <w:szCs w:val="26"/>
        </w:rPr>
        <w:t xml:space="preserve"> sulla modulazione del quesito ogniqualvolta egli lo ritenga non adeguato dal punto di vista tecnico così da impedire l’espletamento di CTU che si rivelino poi insufficienti nel giudizio di merito; una simile soluzione consentirebbe di ovviare all’esigenza di procedere a una nuova CTU e di evitare quindi inutili duplicazioni peritali, con conseguente risparmio in termini economici e di tempistiche</w:t>
      </w:r>
      <w:r>
        <w:rPr>
          <w:rFonts w:ascii="Times New Roman" w:hAnsi="Times New Roman" w:cs="Times New Roman"/>
          <w:sz w:val="26"/>
          <w:szCs w:val="26"/>
        </w:rPr>
        <w:t xml:space="preserve"> processuali</w:t>
      </w:r>
      <w:r w:rsidRPr="00B042CD">
        <w:rPr>
          <w:rFonts w:ascii="Times New Roman" w:hAnsi="Times New Roman" w:cs="Times New Roman"/>
          <w:sz w:val="26"/>
          <w:szCs w:val="26"/>
        </w:rPr>
        <w:t>.</w:t>
      </w:r>
    </w:p>
    <w:p w14:paraId="16D06159" w14:textId="77777777" w:rsidR="00B23C5A" w:rsidRDefault="00B23C5A" w:rsidP="00B23C5A">
      <w:pPr>
        <w:spacing w:line="360" w:lineRule="auto"/>
        <w:jc w:val="both"/>
        <w:rPr>
          <w:rFonts w:ascii="Times New Roman" w:hAnsi="Times New Roman" w:cs="Times New Roman"/>
          <w:sz w:val="26"/>
          <w:szCs w:val="26"/>
        </w:rPr>
      </w:pPr>
    </w:p>
    <w:p w14:paraId="123FFDC2" w14:textId="07122182" w:rsidR="00B9620E" w:rsidRDefault="00B9620E" w:rsidP="00B23C5A">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All’esito della discussione intorno a tali possibili indirizzi, è emersa con tutta evidenza l’opportunità di consentire al convenuto (o al Giudice su richiesta del convenuto) di intervenire sulla formulazione del quesito proposto dall’attore. Tale opzione appare preferibile in quanto idonea a garantire non solo il diritto alla difesa del convenuto già in sede di ATP, ma anche il proficuo e utile svolgimento dell’eventuale successivo giudizio di merito in rispetto del principio di economia processuale. </w:t>
      </w:r>
    </w:p>
    <w:p w14:paraId="72FC302D" w14:textId="2884E98C" w:rsidR="00B23C5A" w:rsidRDefault="00B23C5A" w:rsidP="00B23C5A">
      <w:pPr>
        <w:spacing w:line="360" w:lineRule="auto"/>
        <w:jc w:val="both"/>
        <w:rPr>
          <w:rFonts w:ascii="Times New Roman" w:hAnsi="Times New Roman" w:cs="Times New Roman"/>
          <w:sz w:val="26"/>
          <w:szCs w:val="26"/>
          <w:u w:val="single"/>
        </w:rPr>
      </w:pPr>
      <w:r>
        <w:rPr>
          <w:rFonts w:ascii="Times New Roman" w:hAnsi="Times New Roman" w:cs="Times New Roman"/>
          <w:sz w:val="26"/>
          <w:szCs w:val="26"/>
          <w:u w:val="single"/>
        </w:rPr>
        <w:t xml:space="preserve">Si stabilisce, quindi, di </w:t>
      </w:r>
      <w:r w:rsidR="00B9620E">
        <w:rPr>
          <w:rFonts w:ascii="Times New Roman" w:hAnsi="Times New Roman" w:cs="Times New Roman"/>
          <w:sz w:val="26"/>
          <w:szCs w:val="26"/>
          <w:u w:val="single"/>
        </w:rPr>
        <w:t xml:space="preserve">procedere a una valutazione </w:t>
      </w:r>
      <w:r>
        <w:rPr>
          <w:rFonts w:ascii="Times New Roman" w:hAnsi="Times New Roman" w:cs="Times New Roman"/>
          <w:sz w:val="26"/>
          <w:szCs w:val="26"/>
          <w:u w:val="single"/>
        </w:rPr>
        <w:t xml:space="preserve">caso </w:t>
      </w:r>
      <w:r w:rsidRPr="00235599">
        <w:rPr>
          <w:rFonts w:ascii="Times New Roman" w:hAnsi="Times New Roman" w:cs="Times New Roman"/>
          <w:sz w:val="26"/>
          <w:szCs w:val="26"/>
          <w:u w:val="single"/>
        </w:rPr>
        <w:t>per caso</w:t>
      </w:r>
      <w:r>
        <w:rPr>
          <w:rFonts w:ascii="Times New Roman" w:hAnsi="Times New Roman" w:cs="Times New Roman"/>
          <w:sz w:val="26"/>
          <w:szCs w:val="26"/>
          <w:u w:val="single"/>
        </w:rPr>
        <w:t xml:space="preserve"> sulla base dei seguenti presupposti:</w:t>
      </w:r>
    </w:p>
    <w:p w14:paraId="4FD126E8" w14:textId="77777777" w:rsidR="00B23C5A" w:rsidRDefault="00B23C5A" w:rsidP="00B23C5A">
      <w:pPr>
        <w:spacing w:line="360" w:lineRule="auto"/>
        <w:jc w:val="both"/>
        <w:rPr>
          <w:rFonts w:ascii="Times New Roman" w:hAnsi="Times New Roman" w:cs="Times New Roman"/>
          <w:sz w:val="26"/>
          <w:szCs w:val="26"/>
          <w:u w:val="single"/>
        </w:rPr>
      </w:pPr>
      <w:r>
        <w:rPr>
          <w:rFonts w:ascii="Times New Roman" w:hAnsi="Times New Roman" w:cs="Times New Roman"/>
          <w:sz w:val="26"/>
          <w:szCs w:val="26"/>
          <w:u w:val="single"/>
        </w:rPr>
        <w:lastRenderedPageBreak/>
        <w:t xml:space="preserve">a) non può essere negata </w:t>
      </w:r>
      <w:r w:rsidRPr="004A7747">
        <w:rPr>
          <w:rFonts w:ascii="Times New Roman" w:hAnsi="Times New Roman" w:cs="Times New Roman"/>
          <w:i/>
          <w:sz w:val="26"/>
          <w:szCs w:val="26"/>
          <w:u w:val="single"/>
        </w:rPr>
        <w:t>ex ante</w:t>
      </w:r>
      <w:r w:rsidRPr="00235599">
        <w:rPr>
          <w:rFonts w:ascii="Times New Roman" w:hAnsi="Times New Roman" w:cs="Times New Roman"/>
          <w:sz w:val="26"/>
          <w:szCs w:val="26"/>
          <w:u w:val="single"/>
        </w:rPr>
        <w:t xml:space="preserve"> la possibilità di riformulazione del quesito, anche in considerazione del fatto che i quesiti proposti dai Difensori attorei variano molto sotto il profilo della specificità</w:t>
      </w:r>
      <w:r>
        <w:rPr>
          <w:rFonts w:ascii="Times New Roman" w:hAnsi="Times New Roman" w:cs="Times New Roman"/>
          <w:sz w:val="26"/>
          <w:szCs w:val="26"/>
          <w:u w:val="single"/>
        </w:rPr>
        <w:t>;</w:t>
      </w:r>
    </w:p>
    <w:p w14:paraId="25CE762A" w14:textId="77777777" w:rsidR="00B23C5A" w:rsidRDefault="00B23C5A" w:rsidP="00B23C5A">
      <w:pPr>
        <w:spacing w:line="360" w:lineRule="auto"/>
        <w:jc w:val="both"/>
        <w:rPr>
          <w:rFonts w:ascii="Times New Roman" w:hAnsi="Times New Roman" w:cs="Times New Roman"/>
          <w:sz w:val="26"/>
          <w:szCs w:val="26"/>
          <w:u w:val="single"/>
        </w:rPr>
      </w:pPr>
      <w:r>
        <w:rPr>
          <w:rFonts w:ascii="Times New Roman" w:hAnsi="Times New Roman" w:cs="Times New Roman"/>
          <w:sz w:val="26"/>
          <w:szCs w:val="26"/>
          <w:u w:val="single"/>
        </w:rPr>
        <w:t>b) si deve tenere conto delle osservazioni del convenuto che deve poter espletare un proprio diritto di difesa nel giudizio;</w:t>
      </w:r>
    </w:p>
    <w:p w14:paraId="7C97E19A" w14:textId="77777777" w:rsidR="00B23C5A" w:rsidRPr="00235599" w:rsidRDefault="00B23C5A" w:rsidP="00B23C5A">
      <w:pPr>
        <w:spacing w:line="360" w:lineRule="auto"/>
        <w:jc w:val="both"/>
        <w:rPr>
          <w:rFonts w:ascii="Times New Roman" w:hAnsi="Times New Roman" w:cs="Times New Roman"/>
          <w:sz w:val="26"/>
          <w:szCs w:val="26"/>
          <w:u w:val="single"/>
        </w:rPr>
      </w:pPr>
      <w:r>
        <w:rPr>
          <w:rFonts w:ascii="Times New Roman" w:hAnsi="Times New Roman" w:cs="Times New Roman"/>
          <w:sz w:val="26"/>
          <w:szCs w:val="26"/>
          <w:u w:val="single"/>
        </w:rPr>
        <w:t>c) è opportuno che il quesito sia tecnicamente adeguato al fine di non svolgere una attività processuale che potrebbe risultare inutile nel giudizio di merito tenuto conto della volontà del legislatore di anticipare a tale fase le valutazioni medico-legali sul fatto oggetto di causa.</w:t>
      </w:r>
    </w:p>
    <w:p w14:paraId="69B6C18F" w14:textId="77777777" w:rsidR="00B23C5A" w:rsidRDefault="00B23C5A" w:rsidP="00B23C5A">
      <w:pPr>
        <w:spacing w:line="360" w:lineRule="auto"/>
        <w:jc w:val="both"/>
        <w:rPr>
          <w:rFonts w:ascii="Times New Roman" w:hAnsi="Times New Roman" w:cs="Times New Roman"/>
          <w:b/>
          <w:sz w:val="26"/>
          <w:szCs w:val="26"/>
        </w:rPr>
      </w:pPr>
    </w:p>
    <w:p w14:paraId="232C8B74" w14:textId="77777777" w:rsidR="00B23C5A" w:rsidRDefault="00B23C5A" w:rsidP="00B23C5A">
      <w:pPr>
        <w:spacing w:line="360" w:lineRule="auto"/>
        <w:jc w:val="both"/>
        <w:rPr>
          <w:rFonts w:ascii="Times New Roman" w:hAnsi="Times New Roman" w:cs="Times New Roman"/>
          <w:b/>
          <w:sz w:val="26"/>
          <w:szCs w:val="26"/>
        </w:rPr>
      </w:pPr>
    </w:p>
    <w:p w14:paraId="7EEEA852" w14:textId="77777777" w:rsidR="00B23C5A" w:rsidRPr="00E66A59" w:rsidRDefault="00B23C5A" w:rsidP="00B23C5A">
      <w:pPr>
        <w:pStyle w:val="Titolo2"/>
        <w:numPr>
          <w:ilvl w:val="1"/>
          <w:numId w:val="2"/>
        </w:numPr>
      </w:pPr>
      <w:bookmarkStart w:id="5" w:name="_Toc13051018"/>
      <w:bookmarkStart w:id="6" w:name="_Toc26897766"/>
      <w:r w:rsidRPr="00E66A59">
        <w:t>Chiamate in sede ATP.</w:t>
      </w:r>
      <w:bookmarkEnd w:id="5"/>
      <w:bookmarkEnd w:id="6"/>
      <w:r w:rsidRPr="00E66A59">
        <w:t xml:space="preserve"> </w:t>
      </w:r>
    </w:p>
    <w:p w14:paraId="24BC410F" w14:textId="77777777" w:rsidR="00B23C5A" w:rsidRDefault="00B23C5A" w:rsidP="00B23C5A">
      <w:pPr>
        <w:spacing w:line="360" w:lineRule="auto"/>
        <w:jc w:val="both"/>
        <w:rPr>
          <w:rFonts w:ascii="Times New Roman" w:hAnsi="Times New Roman" w:cs="Times New Roman"/>
          <w:sz w:val="26"/>
          <w:szCs w:val="26"/>
        </w:rPr>
      </w:pPr>
    </w:p>
    <w:p w14:paraId="6518AC3F" w14:textId="44CB3B0B" w:rsidR="00B23C5A" w:rsidRDefault="00BB4A22" w:rsidP="00B23C5A">
      <w:pPr>
        <w:spacing w:line="360" w:lineRule="auto"/>
        <w:jc w:val="both"/>
        <w:rPr>
          <w:rFonts w:ascii="Times New Roman" w:hAnsi="Times New Roman" w:cs="Times New Roman"/>
          <w:sz w:val="26"/>
          <w:szCs w:val="26"/>
        </w:rPr>
      </w:pPr>
      <w:r>
        <w:rPr>
          <w:rFonts w:ascii="Times New Roman" w:hAnsi="Times New Roman" w:cs="Times New Roman"/>
          <w:sz w:val="26"/>
          <w:szCs w:val="26"/>
        </w:rPr>
        <w:t>La sezione ha altresì ritenuto</w:t>
      </w:r>
      <w:r w:rsidR="00B23C5A">
        <w:rPr>
          <w:rFonts w:ascii="Times New Roman" w:hAnsi="Times New Roman" w:cs="Times New Roman"/>
          <w:sz w:val="26"/>
          <w:szCs w:val="26"/>
        </w:rPr>
        <w:t xml:space="preserve"> di </w:t>
      </w:r>
      <w:r>
        <w:rPr>
          <w:rFonts w:ascii="Times New Roman" w:hAnsi="Times New Roman" w:cs="Times New Roman"/>
          <w:sz w:val="26"/>
          <w:szCs w:val="26"/>
        </w:rPr>
        <w:t>dare seguito a quel filone giurisprudenziale</w:t>
      </w:r>
      <w:r w:rsidR="00B23C5A">
        <w:rPr>
          <w:rFonts w:ascii="Times New Roman" w:hAnsi="Times New Roman" w:cs="Times New Roman"/>
          <w:sz w:val="26"/>
          <w:szCs w:val="26"/>
        </w:rPr>
        <w:t xml:space="preserve"> secondo cui, in</w:t>
      </w:r>
      <w:r w:rsidR="00B23C5A" w:rsidRPr="00822D44">
        <w:rPr>
          <w:rFonts w:ascii="Times New Roman" w:hAnsi="Times New Roman" w:cs="Times New Roman"/>
          <w:sz w:val="26"/>
          <w:szCs w:val="26"/>
        </w:rPr>
        <w:t xml:space="preserve"> considerazione della finalità conciliativa e deflattiva dello strumento di ATP, l’art. 8 della legge n. 24/2017 </w:t>
      </w:r>
      <w:r>
        <w:rPr>
          <w:rFonts w:ascii="Times New Roman" w:hAnsi="Times New Roman" w:cs="Times New Roman"/>
          <w:sz w:val="26"/>
          <w:szCs w:val="26"/>
        </w:rPr>
        <w:t>debba essere</w:t>
      </w:r>
      <w:r w:rsidRPr="00822D44">
        <w:rPr>
          <w:rFonts w:ascii="Times New Roman" w:hAnsi="Times New Roman" w:cs="Times New Roman"/>
          <w:sz w:val="26"/>
          <w:szCs w:val="26"/>
        </w:rPr>
        <w:t xml:space="preserve"> </w:t>
      </w:r>
      <w:r w:rsidR="00B23C5A" w:rsidRPr="00822D44">
        <w:rPr>
          <w:rFonts w:ascii="Times New Roman" w:hAnsi="Times New Roman" w:cs="Times New Roman"/>
          <w:sz w:val="26"/>
          <w:szCs w:val="26"/>
        </w:rPr>
        <w:t>considerato autonomamente dall’art. 12 (relativo al giudizio di merito)</w:t>
      </w:r>
      <w:r>
        <w:rPr>
          <w:rFonts w:ascii="Times New Roman" w:hAnsi="Times New Roman" w:cs="Times New Roman"/>
          <w:sz w:val="26"/>
          <w:szCs w:val="26"/>
        </w:rPr>
        <w:t>. Ne consegue l’opportunità di</w:t>
      </w:r>
      <w:r w:rsidR="00B23C5A" w:rsidRPr="00822D44">
        <w:rPr>
          <w:rFonts w:ascii="Times New Roman" w:hAnsi="Times New Roman" w:cs="Times New Roman"/>
          <w:sz w:val="26"/>
          <w:szCs w:val="26"/>
        </w:rPr>
        <w:t xml:space="preserve"> permettere una chiamata generalizzata, sia su citazione diretta dell’attore sia su successiva richiesta</w:t>
      </w:r>
      <w:r w:rsidR="00B23C5A">
        <w:rPr>
          <w:rFonts w:ascii="Times New Roman" w:hAnsi="Times New Roman" w:cs="Times New Roman"/>
          <w:sz w:val="26"/>
          <w:szCs w:val="26"/>
        </w:rPr>
        <w:t xml:space="preserve"> del medesimo dopo la costituzione del convenuto</w:t>
      </w:r>
      <w:r w:rsidR="00B23C5A" w:rsidRPr="00822D44">
        <w:rPr>
          <w:rFonts w:ascii="Times New Roman" w:hAnsi="Times New Roman" w:cs="Times New Roman"/>
          <w:sz w:val="26"/>
          <w:szCs w:val="26"/>
        </w:rPr>
        <w:t xml:space="preserve">. </w:t>
      </w:r>
    </w:p>
    <w:p w14:paraId="7E94D7E1" w14:textId="77777777" w:rsidR="00B23C5A" w:rsidRDefault="00B23C5A" w:rsidP="00B23C5A">
      <w:pPr>
        <w:spacing w:line="360" w:lineRule="auto"/>
        <w:jc w:val="both"/>
        <w:rPr>
          <w:rFonts w:ascii="Times New Roman" w:hAnsi="Times New Roman" w:cs="Times New Roman"/>
          <w:sz w:val="26"/>
          <w:szCs w:val="26"/>
        </w:rPr>
      </w:pPr>
      <w:r w:rsidRPr="00822D44">
        <w:rPr>
          <w:rFonts w:ascii="Times New Roman" w:hAnsi="Times New Roman" w:cs="Times New Roman"/>
          <w:sz w:val="26"/>
          <w:szCs w:val="26"/>
        </w:rPr>
        <w:t xml:space="preserve">Ugualmente </w:t>
      </w:r>
      <w:r>
        <w:rPr>
          <w:rFonts w:ascii="Times New Roman" w:hAnsi="Times New Roman" w:cs="Times New Roman"/>
          <w:sz w:val="26"/>
          <w:szCs w:val="26"/>
        </w:rPr>
        <w:t xml:space="preserve">si ritiene </w:t>
      </w:r>
      <w:r w:rsidRPr="00822D44">
        <w:rPr>
          <w:rFonts w:ascii="Times New Roman" w:hAnsi="Times New Roman" w:cs="Times New Roman"/>
          <w:sz w:val="26"/>
          <w:szCs w:val="26"/>
        </w:rPr>
        <w:t>opportuno permettere la chiamata avanzata dall’Assicurazione che intenda chiamare il medico</w:t>
      </w:r>
      <w:r>
        <w:rPr>
          <w:rFonts w:ascii="Times New Roman" w:hAnsi="Times New Roman" w:cs="Times New Roman"/>
          <w:sz w:val="26"/>
          <w:szCs w:val="26"/>
        </w:rPr>
        <w:t xml:space="preserve"> sia al fine di ritenerne la responsabilità ove non coperta dall’assicurazione, sia al fine di eventuali azioni di regresso.</w:t>
      </w:r>
    </w:p>
    <w:p w14:paraId="2F2AE1A1" w14:textId="2B56E34D" w:rsidR="00B23C5A" w:rsidRPr="00822D44" w:rsidRDefault="00B23C5A" w:rsidP="00B23C5A">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Si </w:t>
      </w:r>
      <w:r w:rsidR="00BB4A22">
        <w:rPr>
          <w:rFonts w:ascii="Times New Roman" w:hAnsi="Times New Roman" w:cs="Times New Roman"/>
          <w:sz w:val="26"/>
          <w:szCs w:val="26"/>
        </w:rPr>
        <w:t>aderisce quindi</w:t>
      </w:r>
      <w:r>
        <w:rPr>
          <w:rFonts w:ascii="Times New Roman" w:hAnsi="Times New Roman" w:cs="Times New Roman"/>
          <w:sz w:val="26"/>
          <w:szCs w:val="26"/>
        </w:rPr>
        <w:t xml:space="preserve"> all’indirizzo giurisprudenziale che </w:t>
      </w:r>
      <w:r w:rsidR="00BB4A22">
        <w:rPr>
          <w:rFonts w:ascii="Times New Roman" w:hAnsi="Times New Roman" w:cs="Times New Roman"/>
          <w:sz w:val="26"/>
          <w:szCs w:val="26"/>
        </w:rPr>
        <w:t xml:space="preserve">considera </w:t>
      </w:r>
      <w:r>
        <w:rPr>
          <w:rFonts w:ascii="Times New Roman" w:hAnsi="Times New Roman" w:cs="Times New Roman"/>
          <w:sz w:val="26"/>
          <w:szCs w:val="26"/>
        </w:rPr>
        <w:t xml:space="preserve">questa fase del giudizio </w:t>
      </w:r>
      <w:r w:rsidR="00BB4A22">
        <w:rPr>
          <w:rFonts w:ascii="Times New Roman" w:hAnsi="Times New Roman" w:cs="Times New Roman"/>
          <w:sz w:val="26"/>
          <w:szCs w:val="26"/>
        </w:rPr>
        <w:t xml:space="preserve">come </w:t>
      </w:r>
      <w:r>
        <w:rPr>
          <w:rFonts w:ascii="Times New Roman" w:hAnsi="Times New Roman" w:cs="Times New Roman"/>
          <w:sz w:val="26"/>
          <w:szCs w:val="26"/>
        </w:rPr>
        <w:t>autonoma e non soggetta agli attuali limiti previsti dall’art. 12.</w:t>
      </w:r>
    </w:p>
    <w:p w14:paraId="1B1E9FF4" w14:textId="77777777" w:rsidR="00B23C5A" w:rsidRDefault="00B23C5A" w:rsidP="00B23C5A">
      <w:pPr>
        <w:pStyle w:val="Paragrafoelenco"/>
        <w:spacing w:line="360" w:lineRule="auto"/>
        <w:jc w:val="both"/>
        <w:rPr>
          <w:rFonts w:ascii="Times New Roman" w:hAnsi="Times New Roman" w:cs="Times New Roman"/>
          <w:sz w:val="26"/>
          <w:szCs w:val="26"/>
        </w:rPr>
      </w:pPr>
    </w:p>
    <w:p w14:paraId="00EB0B8B" w14:textId="77777777" w:rsidR="00B23C5A" w:rsidRDefault="00B23C5A" w:rsidP="00B23C5A">
      <w:pPr>
        <w:pStyle w:val="Paragrafoelenco"/>
        <w:spacing w:line="360" w:lineRule="auto"/>
        <w:jc w:val="both"/>
        <w:rPr>
          <w:rFonts w:ascii="Times New Roman" w:hAnsi="Times New Roman" w:cs="Times New Roman"/>
          <w:sz w:val="26"/>
          <w:szCs w:val="26"/>
        </w:rPr>
      </w:pPr>
    </w:p>
    <w:p w14:paraId="542673F0" w14:textId="77777777" w:rsidR="00B23C5A" w:rsidRPr="00E66A59" w:rsidRDefault="00B23C5A" w:rsidP="00B23C5A">
      <w:pPr>
        <w:pStyle w:val="Titolo2"/>
        <w:numPr>
          <w:ilvl w:val="1"/>
          <w:numId w:val="2"/>
        </w:numPr>
      </w:pPr>
      <w:bookmarkStart w:id="7" w:name="_Toc13051019"/>
      <w:bookmarkStart w:id="8" w:name="_Toc26897767"/>
      <w:r w:rsidRPr="00E66A59">
        <w:t>Designazione del CTU del merito e coincidenza con il CTU dell’ATP</w:t>
      </w:r>
      <w:bookmarkEnd w:id="7"/>
      <w:bookmarkEnd w:id="8"/>
    </w:p>
    <w:p w14:paraId="623AB0FA" w14:textId="77777777" w:rsidR="00B23C5A" w:rsidRDefault="00B23C5A" w:rsidP="00B23C5A">
      <w:pPr>
        <w:spacing w:line="360" w:lineRule="auto"/>
        <w:jc w:val="both"/>
        <w:rPr>
          <w:rFonts w:ascii="Times New Roman" w:hAnsi="Times New Roman" w:cs="Times New Roman"/>
          <w:b/>
          <w:sz w:val="26"/>
          <w:szCs w:val="26"/>
        </w:rPr>
      </w:pPr>
    </w:p>
    <w:p w14:paraId="19509E76" w14:textId="77777777" w:rsidR="00693354" w:rsidRPr="00693354" w:rsidRDefault="00693354" w:rsidP="00693354">
      <w:pPr>
        <w:spacing w:line="360" w:lineRule="auto"/>
        <w:jc w:val="both"/>
        <w:rPr>
          <w:rFonts w:ascii="Times New Roman" w:hAnsi="Times New Roman" w:cs="Times New Roman"/>
          <w:b/>
          <w:sz w:val="26"/>
          <w:szCs w:val="26"/>
        </w:rPr>
      </w:pPr>
      <w:r w:rsidRPr="00693354">
        <w:rPr>
          <w:rFonts w:ascii="Times New Roman" w:hAnsi="Times New Roman" w:cs="Times New Roman"/>
          <w:b/>
          <w:sz w:val="26"/>
          <w:szCs w:val="26"/>
        </w:rPr>
        <w:t>Va innanzitutto stabilito che nessuna norma vieta la designazione nel giudizio di merito dello stesso CTU nominato in sede di ATP.</w:t>
      </w:r>
    </w:p>
    <w:p w14:paraId="4C7F2654" w14:textId="7AF19B08" w:rsidR="009B068B" w:rsidRDefault="00693354" w:rsidP="00655F09">
      <w:pPr>
        <w:spacing w:line="360" w:lineRule="auto"/>
        <w:jc w:val="both"/>
        <w:rPr>
          <w:rFonts w:ascii="Times New Roman" w:hAnsi="Times New Roman" w:cs="Times New Roman"/>
          <w:sz w:val="26"/>
          <w:szCs w:val="26"/>
        </w:rPr>
      </w:pPr>
      <w:r w:rsidRPr="002A3C72">
        <w:rPr>
          <w:rFonts w:ascii="Times New Roman" w:hAnsi="Times New Roman" w:cs="Times New Roman"/>
          <w:sz w:val="26"/>
          <w:szCs w:val="26"/>
        </w:rPr>
        <w:t xml:space="preserve">Tale affermazione trova del resto conforto </w:t>
      </w:r>
      <w:r w:rsidR="00136A07">
        <w:rPr>
          <w:rFonts w:ascii="Times New Roman" w:hAnsi="Times New Roman" w:cs="Times New Roman"/>
          <w:sz w:val="26"/>
          <w:szCs w:val="26"/>
        </w:rPr>
        <w:t xml:space="preserve">non solo nello spirito normativo di cui all’art. 51 c.p.c., ma anche </w:t>
      </w:r>
      <w:r w:rsidRPr="002A3C72">
        <w:rPr>
          <w:rFonts w:ascii="Times New Roman" w:hAnsi="Times New Roman" w:cs="Times New Roman"/>
          <w:sz w:val="26"/>
          <w:szCs w:val="26"/>
        </w:rPr>
        <w:t xml:space="preserve">nel fatto che, sulla base di consolidata giurisprudenza </w:t>
      </w:r>
      <w:r w:rsidR="00136A07">
        <w:rPr>
          <w:rFonts w:ascii="Times New Roman" w:hAnsi="Times New Roman" w:cs="Times New Roman"/>
          <w:sz w:val="26"/>
          <w:szCs w:val="26"/>
        </w:rPr>
        <w:t>di legittimità</w:t>
      </w:r>
      <w:r w:rsidRPr="002A3C72">
        <w:rPr>
          <w:rFonts w:ascii="Times New Roman" w:hAnsi="Times New Roman" w:cs="Times New Roman"/>
          <w:sz w:val="26"/>
          <w:szCs w:val="26"/>
        </w:rPr>
        <w:t xml:space="preserve">, non vi è alcuna causa di incompatibilità per il magistrato assegnatario del fascicolo di merito </w:t>
      </w:r>
      <w:r w:rsidR="00655F09" w:rsidRPr="00693354">
        <w:rPr>
          <w:rFonts w:ascii="Times New Roman" w:hAnsi="Times New Roman" w:cs="Times New Roman"/>
          <w:sz w:val="26"/>
          <w:szCs w:val="26"/>
        </w:rPr>
        <w:t xml:space="preserve">che </w:t>
      </w:r>
      <w:r w:rsidR="00655F09" w:rsidRPr="00693354">
        <w:rPr>
          <w:rFonts w:ascii="Times New Roman" w:hAnsi="Times New Roman" w:cs="Times New Roman"/>
          <w:sz w:val="26"/>
          <w:szCs w:val="26"/>
        </w:rPr>
        <w:lastRenderedPageBreak/>
        <w:t xml:space="preserve">abbia conosciuto della causa </w:t>
      </w:r>
      <w:r w:rsidR="00DE4ECB">
        <w:rPr>
          <w:rFonts w:ascii="Times New Roman" w:hAnsi="Times New Roman" w:cs="Times New Roman"/>
          <w:sz w:val="26"/>
          <w:szCs w:val="26"/>
        </w:rPr>
        <w:t xml:space="preserve">anche </w:t>
      </w:r>
      <w:r w:rsidR="00655F09" w:rsidRPr="00693354">
        <w:rPr>
          <w:rFonts w:ascii="Times New Roman" w:hAnsi="Times New Roman" w:cs="Times New Roman"/>
          <w:sz w:val="26"/>
          <w:szCs w:val="26"/>
        </w:rPr>
        <w:t>come magistrato nella fase cautelare “</w:t>
      </w:r>
      <w:r w:rsidR="00655F09" w:rsidRPr="002A3C72">
        <w:rPr>
          <w:rFonts w:ascii="Times New Roman" w:hAnsi="Times New Roman" w:cs="Times New Roman"/>
          <w:i/>
          <w:sz w:val="26"/>
          <w:szCs w:val="26"/>
        </w:rPr>
        <w:t xml:space="preserve">ante </w:t>
      </w:r>
      <w:proofErr w:type="spellStart"/>
      <w:r w:rsidR="00655F09" w:rsidRPr="002A3C72">
        <w:rPr>
          <w:rFonts w:ascii="Times New Roman" w:hAnsi="Times New Roman" w:cs="Times New Roman"/>
          <w:i/>
          <w:sz w:val="26"/>
          <w:szCs w:val="26"/>
        </w:rPr>
        <w:t>causam</w:t>
      </w:r>
      <w:proofErr w:type="spellEnd"/>
      <w:r w:rsidR="00655F09" w:rsidRPr="00693354">
        <w:rPr>
          <w:rFonts w:ascii="Times New Roman" w:hAnsi="Times New Roman" w:cs="Times New Roman"/>
          <w:sz w:val="26"/>
          <w:szCs w:val="26"/>
        </w:rPr>
        <w:t xml:space="preserve">” in quanto tale fase </w:t>
      </w:r>
      <w:r w:rsidR="00655F09" w:rsidRPr="00693354">
        <w:rPr>
          <w:rFonts w:ascii="Times New Roman" w:hAnsi="Times New Roman" w:cs="Times New Roman"/>
          <w:i/>
          <w:sz w:val="26"/>
          <w:szCs w:val="26"/>
        </w:rPr>
        <w:t>non costituisce, un'ipotesi sufficientemente assimilabile, sotto il profilo dell'incompatibilità, alla trattazione della causa in un altro grado di giudizio</w:t>
      </w:r>
      <w:r w:rsidR="00655F09" w:rsidRPr="00693354">
        <w:rPr>
          <w:rFonts w:ascii="Times New Roman" w:hAnsi="Times New Roman" w:cs="Times New Roman"/>
          <w:sz w:val="26"/>
          <w:szCs w:val="26"/>
        </w:rPr>
        <w:t xml:space="preserve"> (Cass. Sez. 1</w:t>
      </w:r>
      <w:r w:rsidR="002A3C72">
        <w:rPr>
          <w:rFonts w:ascii="Times New Roman" w:hAnsi="Times New Roman" w:cs="Times New Roman"/>
          <w:sz w:val="26"/>
          <w:szCs w:val="26"/>
        </w:rPr>
        <w:t xml:space="preserve">, </w:t>
      </w:r>
      <w:r w:rsidR="00655F09" w:rsidRPr="002A3C72">
        <w:rPr>
          <w:rFonts w:ascii="Times New Roman" w:hAnsi="Times New Roman" w:cs="Times New Roman"/>
          <w:bCs/>
          <w:i/>
          <w:iCs/>
          <w:sz w:val="26"/>
          <w:szCs w:val="26"/>
        </w:rPr>
        <w:t>Sentenza</w:t>
      </w:r>
      <w:r w:rsidR="00655F09" w:rsidRPr="00693354">
        <w:rPr>
          <w:rFonts w:ascii="Times New Roman" w:hAnsi="Times New Roman" w:cs="Times New Roman"/>
          <w:i/>
          <w:iCs/>
          <w:sz w:val="26"/>
          <w:szCs w:val="26"/>
        </w:rPr>
        <w:t xml:space="preserve"> n</w:t>
      </w:r>
      <w:r w:rsidR="00655F09" w:rsidRPr="00693354">
        <w:rPr>
          <w:rFonts w:ascii="Times New Roman" w:hAnsi="Times New Roman" w:cs="Times New Roman"/>
          <w:sz w:val="26"/>
          <w:szCs w:val="26"/>
        </w:rPr>
        <w:t xml:space="preserve">. </w:t>
      </w:r>
      <w:hyperlink r:id="rId10" w:tgtFrame="_blank" w:history="1">
        <w:r w:rsidR="00655F09" w:rsidRPr="00693354">
          <w:rPr>
            <w:rStyle w:val="Collegamentoipertestuale"/>
            <w:rFonts w:ascii="Times New Roman" w:hAnsi="Times New Roman" w:cs="Times New Roman"/>
            <w:sz w:val="26"/>
            <w:szCs w:val="26"/>
          </w:rPr>
          <w:t>27924</w:t>
        </w:r>
      </w:hyperlink>
      <w:r w:rsidR="00655F09" w:rsidRPr="00693354">
        <w:rPr>
          <w:rFonts w:ascii="Times New Roman" w:hAnsi="Times New Roman" w:cs="Times New Roman"/>
          <w:sz w:val="26"/>
          <w:szCs w:val="26"/>
        </w:rPr>
        <w:t xml:space="preserve"> </w:t>
      </w:r>
      <w:r w:rsidR="00655F09" w:rsidRPr="00693354">
        <w:rPr>
          <w:rFonts w:ascii="Times New Roman" w:hAnsi="Times New Roman" w:cs="Times New Roman"/>
          <w:i/>
          <w:iCs/>
          <w:sz w:val="26"/>
          <w:szCs w:val="26"/>
        </w:rPr>
        <w:t>del</w:t>
      </w:r>
      <w:r w:rsidR="00655F09" w:rsidRPr="00693354">
        <w:rPr>
          <w:rFonts w:ascii="Times New Roman" w:hAnsi="Times New Roman" w:cs="Times New Roman"/>
          <w:sz w:val="26"/>
          <w:szCs w:val="26"/>
        </w:rPr>
        <w:t xml:space="preserve"> 31/10/2018)</w:t>
      </w:r>
      <w:r w:rsidR="00A91242" w:rsidRPr="00693354">
        <w:rPr>
          <w:rFonts w:ascii="Times New Roman" w:hAnsi="Times New Roman" w:cs="Times New Roman"/>
          <w:sz w:val="26"/>
          <w:szCs w:val="26"/>
        </w:rPr>
        <w:t xml:space="preserve">. </w:t>
      </w:r>
      <w:r w:rsidR="00772E0B">
        <w:rPr>
          <w:rFonts w:ascii="Times New Roman" w:hAnsi="Times New Roman" w:cs="Times New Roman"/>
          <w:sz w:val="26"/>
          <w:szCs w:val="26"/>
        </w:rPr>
        <w:t>Ciò</w:t>
      </w:r>
      <w:r w:rsidR="00DE4ECB" w:rsidRPr="00DE4ECB">
        <w:rPr>
          <w:rFonts w:ascii="Times New Roman" w:hAnsi="Times New Roman" w:cs="Times New Roman"/>
          <w:sz w:val="26"/>
          <w:szCs w:val="26"/>
        </w:rPr>
        <w:t xml:space="preserve"> può dunque valere in via analoga anche per la figura del CTU, che del resto si configura quale mero ausiliario del magistrato stesso.</w:t>
      </w:r>
    </w:p>
    <w:p w14:paraId="3B9B9F2D" w14:textId="3220C0EC" w:rsidR="00B23C5A" w:rsidRDefault="009B068B" w:rsidP="00136A07">
      <w:pPr>
        <w:spacing w:line="360" w:lineRule="auto"/>
        <w:jc w:val="both"/>
        <w:rPr>
          <w:rFonts w:ascii="Times New Roman" w:hAnsi="Times New Roman" w:cs="Times New Roman"/>
          <w:sz w:val="26"/>
          <w:szCs w:val="26"/>
        </w:rPr>
      </w:pPr>
      <w:r w:rsidRPr="009B068B">
        <w:rPr>
          <w:rFonts w:ascii="Times New Roman" w:hAnsi="Times New Roman" w:cs="Times New Roman"/>
          <w:sz w:val="26"/>
          <w:szCs w:val="26"/>
        </w:rPr>
        <w:t xml:space="preserve">Posto quindi tale principio di carattere generale, </w:t>
      </w:r>
      <w:r w:rsidR="00136A07">
        <w:rPr>
          <w:rFonts w:ascii="Times New Roman" w:hAnsi="Times New Roman" w:cs="Times New Roman"/>
          <w:sz w:val="26"/>
          <w:szCs w:val="26"/>
        </w:rPr>
        <w:t xml:space="preserve">ne consegue che </w:t>
      </w:r>
      <w:r w:rsidR="00136A07" w:rsidRPr="00136A07">
        <w:rPr>
          <w:rFonts w:ascii="Times New Roman" w:hAnsi="Times New Roman" w:cs="Times New Roman"/>
          <w:sz w:val="26"/>
          <w:szCs w:val="26"/>
        </w:rPr>
        <w:t xml:space="preserve">è rimessa alla </w:t>
      </w:r>
      <w:r w:rsidR="00136A07" w:rsidRPr="002A3C72">
        <w:rPr>
          <w:rFonts w:ascii="Times New Roman" w:hAnsi="Times New Roman" w:cs="Times New Roman"/>
          <w:sz w:val="26"/>
          <w:szCs w:val="26"/>
          <w:u w:val="single"/>
        </w:rPr>
        <w:t>esclusiva</w:t>
      </w:r>
      <w:r w:rsidR="00136A07" w:rsidRPr="00136A07">
        <w:rPr>
          <w:rFonts w:ascii="Times New Roman" w:hAnsi="Times New Roman" w:cs="Times New Roman"/>
          <w:sz w:val="26"/>
          <w:szCs w:val="26"/>
        </w:rPr>
        <w:t xml:space="preserve"> discrezionalità del Giudice del merito tanto la valutazione se procedere o meno al rinnovo della perizia quanto la scelta di nominare o meno lo stesso consule</w:t>
      </w:r>
      <w:r w:rsidR="00136A07">
        <w:rPr>
          <w:rFonts w:ascii="Times New Roman" w:hAnsi="Times New Roman" w:cs="Times New Roman"/>
          <w:sz w:val="26"/>
          <w:szCs w:val="26"/>
        </w:rPr>
        <w:t>nte dell’ATP</w:t>
      </w:r>
      <w:r w:rsidRPr="009B068B">
        <w:rPr>
          <w:rFonts w:ascii="Times New Roman" w:hAnsi="Times New Roman" w:cs="Times New Roman"/>
          <w:sz w:val="26"/>
          <w:szCs w:val="26"/>
        </w:rPr>
        <w:t>, senza che nessuna delle parti possa eccepirne l’incomp</w:t>
      </w:r>
      <w:r>
        <w:rPr>
          <w:rFonts w:ascii="Times New Roman" w:hAnsi="Times New Roman" w:cs="Times New Roman"/>
          <w:sz w:val="26"/>
          <w:szCs w:val="26"/>
        </w:rPr>
        <w:t>atibilità. Si noti, anzi, come l</w:t>
      </w:r>
      <w:r w:rsidR="00655F09">
        <w:rPr>
          <w:rFonts w:ascii="Times New Roman" w:hAnsi="Times New Roman" w:cs="Times New Roman"/>
          <w:b/>
          <w:sz w:val="26"/>
          <w:szCs w:val="26"/>
        </w:rPr>
        <w:t xml:space="preserve">a scelta di nominare lo stesso CTU </w:t>
      </w:r>
      <w:r>
        <w:rPr>
          <w:rFonts w:ascii="Times New Roman" w:hAnsi="Times New Roman" w:cs="Times New Roman"/>
          <w:b/>
          <w:sz w:val="26"/>
          <w:szCs w:val="26"/>
        </w:rPr>
        <w:t xml:space="preserve">già </w:t>
      </w:r>
      <w:r w:rsidR="00655F09">
        <w:rPr>
          <w:rFonts w:ascii="Times New Roman" w:hAnsi="Times New Roman" w:cs="Times New Roman"/>
          <w:b/>
          <w:sz w:val="26"/>
          <w:szCs w:val="26"/>
        </w:rPr>
        <w:t xml:space="preserve">nominato in sede di ATP </w:t>
      </w:r>
      <w:r>
        <w:rPr>
          <w:rFonts w:ascii="Times New Roman" w:hAnsi="Times New Roman" w:cs="Times New Roman"/>
          <w:b/>
          <w:sz w:val="26"/>
          <w:szCs w:val="26"/>
        </w:rPr>
        <w:t>appaia</w:t>
      </w:r>
      <w:r w:rsidR="00136A07">
        <w:rPr>
          <w:rFonts w:ascii="Times New Roman" w:hAnsi="Times New Roman" w:cs="Times New Roman"/>
          <w:b/>
          <w:sz w:val="26"/>
          <w:szCs w:val="26"/>
        </w:rPr>
        <w:t xml:space="preserve"> </w:t>
      </w:r>
      <w:r w:rsidR="00B23C5A" w:rsidRPr="00655F09">
        <w:rPr>
          <w:rFonts w:ascii="Times New Roman" w:hAnsi="Times New Roman" w:cs="Times New Roman"/>
          <w:b/>
          <w:sz w:val="26"/>
          <w:szCs w:val="26"/>
        </w:rPr>
        <w:t xml:space="preserve">particolarmente utile laddove </w:t>
      </w:r>
      <w:r w:rsidR="00655F09">
        <w:rPr>
          <w:rFonts w:ascii="Times New Roman" w:hAnsi="Times New Roman" w:cs="Times New Roman"/>
          <w:b/>
          <w:sz w:val="26"/>
          <w:szCs w:val="26"/>
        </w:rPr>
        <w:t xml:space="preserve">la CTU costituisca solo un ampliamento o un supplemento </w:t>
      </w:r>
      <w:r w:rsidR="00136A07">
        <w:rPr>
          <w:rFonts w:ascii="Times New Roman" w:hAnsi="Times New Roman" w:cs="Times New Roman"/>
          <w:b/>
          <w:sz w:val="26"/>
          <w:szCs w:val="26"/>
        </w:rPr>
        <w:t xml:space="preserve">dell’ATP </w:t>
      </w:r>
      <w:r w:rsidR="00655F09">
        <w:rPr>
          <w:rFonts w:ascii="Times New Roman" w:hAnsi="Times New Roman" w:cs="Times New Roman"/>
          <w:b/>
          <w:sz w:val="26"/>
          <w:szCs w:val="26"/>
        </w:rPr>
        <w:t xml:space="preserve">originario, </w:t>
      </w:r>
      <w:r w:rsidR="00655F09">
        <w:rPr>
          <w:rFonts w:ascii="Times New Roman" w:hAnsi="Times New Roman" w:cs="Times New Roman"/>
          <w:sz w:val="26"/>
          <w:szCs w:val="26"/>
        </w:rPr>
        <w:t xml:space="preserve">con un quesito </w:t>
      </w:r>
      <w:r w:rsidR="00B23C5A" w:rsidRPr="00822D44">
        <w:rPr>
          <w:rFonts w:ascii="Times New Roman" w:hAnsi="Times New Roman" w:cs="Times New Roman"/>
          <w:sz w:val="26"/>
          <w:szCs w:val="26"/>
        </w:rPr>
        <w:t>che vada a precisare quanto già domandato in sede di ATP</w:t>
      </w:r>
      <w:r>
        <w:rPr>
          <w:rFonts w:ascii="Times New Roman" w:hAnsi="Times New Roman" w:cs="Times New Roman"/>
          <w:sz w:val="26"/>
          <w:szCs w:val="26"/>
        </w:rPr>
        <w:t xml:space="preserve">. È </w:t>
      </w:r>
      <w:r w:rsidR="00772E0B">
        <w:rPr>
          <w:rFonts w:ascii="Times New Roman" w:hAnsi="Times New Roman" w:cs="Times New Roman"/>
          <w:sz w:val="26"/>
          <w:szCs w:val="26"/>
        </w:rPr>
        <w:t xml:space="preserve">infatti </w:t>
      </w:r>
      <w:r>
        <w:rPr>
          <w:rFonts w:ascii="Times New Roman" w:hAnsi="Times New Roman" w:cs="Times New Roman"/>
          <w:sz w:val="26"/>
          <w:szCs w:val="26"/>
        </w:rPr>
        <w:t xml:space="preserve">evidente come in tal modo si </w:t>
      </w:r>
      <w:r w:rsidR="00B23C5A">
        <w:rPr>
          <w:rFonts w:ascii="Times New Roman" w:hAnsi="Times New Roman" w:cs="Times New Roman"/>
          <w:sz w:val="26"/>
          <w:szCs w:val="26"/>
        </w:rPr>
        <w:t>favor</w:t>
      </w:r>
      <w:r>
        <w:rPr>
          <w:rFonts w:ascii="Times New Roman" w:hAnsi="Times New Roman" w:cs="Times New Roman"/>
          <w:sz w:val="26"/>
          <w:szCs w:val="26"/>
        </w:rPr>
        <w:t>isca</w:t>
      </w:r>
      <w:r w:rsidR="00B23C5A">
        <w:rPr>
          <w:rFonts w:ascii="Times New Roman" w:hAnsi="Times New Roman" w:cs="Times New Roman"/>
          <w:sz w:val="26"/>
          <w:szCs w:val="26"/>
        </w:rPr>
        <w:t xml:space="preserve"> la celerità del giudizio grazie </w:t>
      </w:r>
      <w:r w:rsidR="00213BA2">
        <w:rPr>
          <w:rFonts w:ascii="Times New Roman" w:hAnsi="Times New Roman" w:cs="Times New Roman"/>
          <w:sz w:val="26"/>
          <w:szCs w:val="26"/>
        </w:rPr>
        <w:t>alla preventiva e dunque già approfondita</w:t>
      </w:r>
      <w:r w:rsidR="00B23C5A">
        <w:rPr>
          <w:rFonts w:ascii="Times New Roman" w:hAnsi="Times New Roman" w:cs="Times New Roman"/>
          <w:sz w:val="26"/>
          <w:szCs w:val="26"/>
        </w:rPr>
        <w:t xml:space="preserve"> conoscenza del caso da parte del </w:t>
      </w:r>
      <w:r>
        <w:rPr>
          <w:rFonts w:ascii="Times New Roman" w:hAnsi="Times New Roman" w:cs="Times New Roman"/>
          <w:sz w:val="26"/>
          <w:szCs w:val="26"/>
        </w:rPr>
        <w:t>perito</w:t>
      </w:r>
      <w:r w:rsidR="00B23C5A">
        <w:rPr>
          <w:rFonts w:ascii="Times New Roman" w:hAnsi="Times New Roman" w:cs="Times New Roman"/>
          <w:sz w:val="26"/>
          <w:szCs w:val="26"/>
        </w:rPr>
        <w:t>.</w:t>
      </w:r>
    </w:p>
    <w:p w14:paraId="69DA9448" w14:textId="2175853E" w:rsidR="00D91AB9" w:rsidRPr="002A3C72" w:rsidRDefault="00C96943" w:rsidP="00C96943">
      <w:pPr>
        <w:spacing w:line="360" w:lineRule="auto"/>
        <w:jc w:val="both"/>
        <w:rPr>
          <w:rFonts w:ascii="Times New Roman" w:hAnsi="Times New Roman" w:cs="Times New Roman"/>
          <w:sz w:val="26"/>
          <w:szCs w:val="26"/>
        </w:rPr>
      </w:pPr>
      <w:r w:rsidRPr="002A3C72">
        <w:rPr>
          <w:rFonts w:ascii="Times New Roman" w:hAnsi="Times New Roman" w:cs="Times New Roman"/>
          <w:sz w:val="26"/>
          <w:szCs w:val="26"/>
        </w:rPr>
        <w:t>È chiaro che quanto detto</w:t>
      </w:r>
      <w:r>
        <w:rPr>
          <w:rFonts w:ascii="Times New Roman" w:hAnsi="Times New Roman" w:cs="Times New Roman"/>
          <w:sz w:val="26"/>
          <w:szCs w:val="26"/>
        </w:rPr>
        <w:t xml:space="preserve"> finora</w:t>
      </w:r>
      <w:r w:rsidRPr="002A3C72">
        <w:rPr>
          <w:rFonts w:ascii="Times New Roman" w:hAnsi="Times New Roman" w:cs="Times New Roman"/>
          <w:sz w:val="26"/>
          <w:szCs w:val="26"/>
        </w:rPr>
        <w:t xml:space="preserve"> vale solo ove le parti del giudizio di merito coincidano con le parti presenti in sede di ATP. Qualora invece siano presenti nuove parti nei cui confronti la perizia </w:t>
      </w:r>
      <w:r w:rsidRPr="002A3C72">
        <w:rPr>
          <w:rFonts w:ascii="Times New Roman" w:hAnsi="Times New Roman" w:cs="Times New Roman"/>
          <w:i/>
          <w:sz w:val="26"/>
          <w:szCs w:val="26"/>
        </w:rPr>
        <w:t xml:space="preserve">ante </w:t>
      </w:r>
      <w:proofErr w:type="spellStart"/>
      <w:r w:rsidRPr="002A3C72">
        <w:rPr>
          <w:rFonts w:ascii="Times New Roman" w:hAnsi="Times New Roman" w:cs="Times New Roman"/>
          <w:i/>
          <w:sz w:val="26"/>
          <w:szCs w:val="26"/>
        </w:rPr>
        <w:t>causam</w:t>
      </w:r>
      <w:proofErr w:type="spellEnd"/>
      <w:r w:rsidRPr="002A3C72">
        <w:rPr>
          <w:rFonts w:ascii="Times New Roman" w:hAnsi="Times New Roman" w:cs="Times New Roman"/>
          <w:i/>
          <w:sz w:val="26"/>
          <w:szCs w:val="26"/>
        </w:rPr>
        <w:t xml:space="preserve"> </w:t>
      </w:r>
      <w:r w:rsidRPr="002A3C72">
        <w:rPr>
          <w:rFonts w:ascii="Times New Roman" w:hAnsi="Times New Roman" w:cs="Times New Roman"/>
          <w:sz w:val="26"/>
          <w:szCs w:val="26"/>
        </w:rPr>
        <w:t>non sia opponibile, il Giudice</w:t>
      </w:r>
      <w:r>
        <w:rPr>
          <w:rFonts w:ascii="Times New Roman" w:hAnsi="Times New Roman" w:cs="Times New Roman"/>
          <w:sz w:val="26"/>
          <w:szCs w:val="26"/>
        </w:rPr>
        <w:t xml:space="preserve">, </w:t>
      </w:r>
      <w:r w:rsidRPr="00AB30E9">
        <w:rPr>
          <w:rFonts w:ascii="Times New Roman" w:hAnsi="Times New Roman" w:cs="Times New Roman"/>
          <w:sz w:val="26"/>
          <w:szCs w:val="26"/>
        </w:rPr>
        <w:t>salvo diverso accordo delle parti,</w:t>
      </w:r>
      <w:r>
        <w:rPr>
          <w:rFonts w:ascii="Times New Roman" w:hAnsi="Times New Roman" w:cs="Times New Roman"/>
          <w:sz w:val="26"/>
          <w:szCs w:val="26"/>
        </w:rPr>
        <w:t xml:space="preserve"> </w:t>
      </w:r>
      <w:r w:rsidRPr="002A3C72">
        <w:rPr>
          <w:rFonts w:ascii="Times New Roman" w:hAnsi="Times New Roman" w:cs="Times New Roman"/>
          <w:sz w:val="26"/>
          <w:szCs w:val="26"/>
        </w:rPr>
        <w:t>dovrà necessariamente procedere a una nuova consulenza nominando un perito diverso rispetto a quello dell’ATP</w:t>
      </w:r>
      <w:r>
        <w:rPr>
          <w:rFonts w:ascii="Times New Roman" w:hAnsi="Times New Roman" w:cs="Times New Roman"/>
          <w:sz w:val="26"/>
          <w:szCs w:val="26"/>
        </w:rPr>
        <w:t xml:space="preserve"> (la nomina delo</w:t>
      </w:r>
    </w:p>
    <w:p w14:paraId="15DF6301" w14:textId="77777777" w:rsidR="00B23C5A" w:rsidRDefault="00B23C5A" w:rsidP="00B23C5A">
      <w:pPr>
        <w:spacing w:line="360" w:lineRule="auto"/>
        <w:jc w:val="both"/>
        <w:rPr>
          <w:rFonts w:ascii="Times New Roman" w:hAnsi="Times New Roman" w:cs="Times New Roman"/>
          <w:sz w:val="26"/>
          <w:szCs w:val="26"/>
        </w:rPr>
      </w:pPr>
    </w:p>
    <w:p w14:paraId="35E5CA52" w14:textId="77777777" w:rsidR="00B23C5A" w:rsidRPr="00E66A59" w:rsidRDefault="00B23C5A" w:rsidP="00B23C5A">
      <w:pPr>
        <w:pStyle w:val="Titolo2"/>
        <w:numPr>
          <w:ilvl w:val="1"/>
          <w:numId w:val="2"/>
        </w:numPr>
      </w:pPr>
      <w:bookmarkStart w:id="9" w:name="_Toc13051020"/>
      <w:bookmarkStart w:id="10" w:name="_Toc26897768"/>
      <w:r w:rsidRPr="00E66A59">
        <w:t>Termini per la fissazione dell’udienza di conferimento incarico Atp:</w:t>
      </w:r>
      <w:bookmarkEnd w:id="9"/>
      <w:bookmarkEnd w:id="10"/>
      <w:r w:rsidRPr="00E66A59">
        <w:t xml:space="preserve"> </w:t>
      </w:r>
    </w:p>
    <w:p w14:paraId="4B8F8507" w14:textId="77777777" w:rsidR="00B23C5A" w:rsidRDefault="00B23C5A" w:rsidP="00B23C5A">
      <w:pPr>
        <w:spacing w:line="360" w:lineRule="auto"/>
        <w:jc w:val="both"/>
        <w:rPr>
          <w:rFonts w:ascii="Times New Roman" w:hAnsi="Times New Roman" w:cs="Times New Roman"/>
          <w:sz w:val="26"/>
          <w:szCs w:val="26"/>
        </w:rPr>
      </w:pPr>
    </w:p>
    <w:p w14:paraId="5BEF4431" w14:textId="663DFA3F" w:rsidR="00B23C5A" w:rsidRDefault="00136A07" w:rsidP="00B23C5A">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Riscontrate nella pratica </w:t>
      </w:r>
      <w:r w:rsidR="00B23C5A">
        <w:rPr>
          <w:rFonts w:ascii="Times New Roman" w:hAnsi="Times New Roman" w:cs="Times New Roman"/>
          <w:sz w:val="26"/>
          <w:szCs w:val="26"/>
        </w:rPr>
        <w:t>alcune difficoltà nella notifica</w:t>
      </w:r>
      <w:r w:rsidR="00772E0B">
        <w:rPr>
          <w:rFonts w:ascii="Times New Roman" w:hAnsi="Times New Roman" w:cs="Times New Roman"/>
          <w:sz w:val="26"/>
          <w:szCs w:val="26"/>
        </w:rPr>
        <w:t>zione</w:t>
      </w:r>
      <w:r w:rsidR="00B23C5A">
        <w:rPr>
          <w:rFonts w:ascii="Times New Roman" w:hAnsi="Times New Roman" w:cs="Times New Roman"/>
          <w:sz w:val="26"/>
          <w:szCs w:val="26"/>
        </w:rPr>
        <w:t xml:space="preserve"> dei ricorsi</w:t>
      </w:r>
      <w:r w:rsidR="00772E0B">
        <w:rPr>
          <w:rFonts w:ascii="Times New Roman" w:hAnsi="Times New Roman" w:cs="Times New Roman"/>
          <w:sz w:val="26"/>
          <w:szCs w:val="26"/>
        </w:rPr>
        <w:t xml:space="preserve"> e dei decreti di fissazione d’udienza</w:t>
      </w:r>
      <w:r>
        <w:rPr>
          <w:rFonts w:ascii="Times New Roman" w:hAnsi="Times New Roman" w:cs="Times New Roman"/>
          <w:sz w:val="26"/>
          <w:szCs w:val="26"/>
        </w:rPr>
        <w:t>,</w:t>
      </w:r>
      <w:r w:rsidR="00B23C5A">
        <w:rPr>
          <w:rFonts w:ascii="Times New Roman" w:hAnsi="Times New Roman" w:cs="Times New Roman"/>
          <w:sz w:val="26"/>
          <w:szCs w:val="26"/>
        </w:rPr>
        <w:t xml:space="preserve"> </w:t>
      </w:r>
      <w:r>
        <w:rPr>
          <w:rFonts w:ascii="Times New Roman" w:hAnsi="Times New Roman" w:cs="Times New Roman"/>
          <w:sz w:val="26"/>
          <w:szCs w:val="26"/>
        </w:rPr>
        <w:t>si è deciso di</w:t>
      </w:r>
      <w:r w:rsidR="00B23C5A">
        <w:rPr>
          <w:rFonts w:ascii="Times New Roman" w:hAnsi="Times New Roman" w:cs="Times New Roman"/>
          <w:sz w:val="26"/>
          <w:szCs w:val="26"/>
        </w:rPr>
        <w:t xml:space="preserve"> ampliare i </w:t>
      </w:r>
      <w:r>
        <w:rPr>
          <w:rFonts w:ascii="Times New Roman" w:hAnsi="Times New Roman" w:cs="Times New Roman"/>
          <w:sz w:val="26"/>
          <w:szCs w:val="26"/>
        </w:rPr>
        <w:t xml:space="preserve">relativi </w:t>
      </w:r>
      <w:r w:rsidR="00B23C5A">
        <w:rPr>
          <w:rFonts w:ascii="Times New Roman" w:hAnsi="Times New Roman" w:cs="Times New Roman"/>
          <w:sz w:val="26"/>
          <w:szCs w:val="26"/>
        </w:rPr>
        <w:t>termini in considerazione del fatto che</w:t>
      </w:r>
      <w:r>
        <w:rPr>
          <w:rFonts w:ascii="Times New Roman" w:hAnsi="Times New Roman" w:cs="Times New Roman"/>
          <w:sz w:val="26"/>
          <w:szCs w:val="26"/>
        </w:rPr>
        <w:t>, attesa l’incidenza e la rilevanza</w:t>
      </w:r>
      <w:r w:rsidR="00B23C5A">
        <w:rPr>
          <w:rFonts w:ascii="Times New Roman" w:hAnsi="Times New Roman" w:cs="Times New Roman"/>
          <w:sz w:val="26"/>
          <w:szCs w:val="26"/>
        </w:rPr>
        <w:t xml:space="preserve"> </w:t>
      </w:r>
      <w:r>
        <w:rPr>
          <w:rFonts w:ascii="Times New Roman" w:hAnsi="Times New Roman" w:cs="Times New Roman"/>
          <w:sz w:val="26"/>
          <w:szCs w:val="26"/>
        </w:rPr>
        <w:t>dell’</w:t>
      </w:r>
      <w:r w:rsidR="00B23C5A">
        <w:rPr>
          <w:rFonts w:ascii="Times New Roman" w:hAnsi="Times New Roman" w:cs="Times New Roman"/>
          <w:sz w:val="26"/>
          <w:szCs w:val="26"/>
        </w:rPr>
        <w:t>ATP nella successiva fase di merito</w:t>
      </w:r>
      <w:r>
        <w:rPr>
          <w:rFonts w:ascii="Times New Roman" w:hAnsi="Times New Roman" w:cs="Times New Roman"/>
          <w:sz w:val="26"/>
          <w:szCs w:val="26"/>
        </w:rPr>
        <w:t>,</w:t>
      </w:r>
      <w:r w:rsidR="00B23C5A">
        <w:rPr>
          <w:rFonts w:ascii="Times New Roman" w:hAnsi="Times New Roman" w:cs="Times New Roman"/>
          <w:sz w:val="26"/>
          <w:szCs w:val="26"/>
        </w:rPr>
        <w:t xml:space="preserve"> </w:t>
      </w:r>
      <w:r>
        <w:rPr>
          <w:rFonts w:ascii="Times New Roman" w:hAnsi="Times New Roman" w:cs="Times New Roman"/>
          <w:sz w:val="26"/>
          <w:szCs w:val="26"/>
        </w:rPr>
        <w:t xml:space="preserve">la </w:t>
      </w:r>
      <w:r w:rsidR="00B23C5A">
        <w:rPr>
          <w:rFonts w:ascii="Times New Roman" w:hAnsi="Times New Roman" w:cs="Times New Roman"/>
          <w:sz w:val="26"/>
          <w:szCs w:val="26"/>
        </w:rPr>
        <w:t xml:space="preserve">parte convenuta, normalmente un istituto sanitario, </w:t>
      </w:r>
      <w:r>
        <w:rPr>
          <w:rFonts w:ascii="Times New Roman" w:hAnsi="Times New Roman" w:cs="Times New Roman"/>
          <w:sz w:val="26"/>
          <w:szCs w:val="26"/>
        </w:rPr>
        <w:t>deve necessariamente essere messa nella posizione di esercitare un’utile difesa (ad esempio</w:t>
      </w:r>
      <w:r w:rsidR="00B23C5A">
        <w:rPr>
          <w:rFonts w:ascii="Times New Roman" w:hAnsi="Times New Roman" w:cs="Times New Roman"/>
          <w:sz w:val="26"/>
          <w:szCs w:val="26"/>
        </w:rPr>
        <w:t xml:space="preserve"> recuperando la cartella clinica, individuando i propri </w:t>
      </w:r>
      <w:r>
        <w:rPr>
          <w:rFonts w:ascii="Times New Roman" w:hAnsi="Times New Roman" w:cs="Times New Roman"/>
          <w:sz w:val="26"/>
          <w:szCs w:val="26"/>
        </w:rPr>
        <w:t>CTP</w:t>
      </w:r>
      <w:r w:rsidR="00B23C5A">
        <w:rPr>
          <w:rFonts w:ascii="Times New Roman" w:hAnsi="Times New Roman" w:cs="Times New Roman"/>
          <w:sz w:val="26"/>
          <w:szCs w:val="26"/>
        </w:rPr>
        <w:t>, studiando il caso se non già conosciuto ed esperendo le procedure interne anche ai fini dell’eventuale conciliazione</w:t>
      </w:r>
      <w:r>
        <w:rPr>
          <w:rFonts w:ascii="Times New Roman" w:hAnsi="Times New Roman" w:cs="Times New Roman"/>
          <w:sz w:val="26"/>
          <w:szCs w:val="26"/>
        </w:rPr>
        <w:t>)</w:t>
      </w:r>
      <w:r w:rsidR="00B23C5A">
        <w:rPr>
          <w:rFonts w:ascii="Times New Roman" w:hAnsi="Times New Roman" w:cs="Times New Roman"/>
          <w:sz w:val="26"/>
          <w:szCs w:val="26"/>
        </w:rPr>
        <w:t>.</w:t>
      </w:r>
    </w:p>
    <w:p w14:paraId="05B11E20" w14:textId="32468FA1" w:rsidR="00B23C5A" w:rsidRDefault="00B23C5A" w:rsidP="00B23C5A">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Un termine non eccessivamente accelerato </w:t>
      </w:r>
      <w:r w:rsidR="00772E0B">
        <w:rPr>
          <w:rFonts w:ascii="Times New Roman" w:hAnsi="Times New Roman" w:cs="Times New Roman"/>
          <w:sz w:val="26"/>
          <w:szCs w:val="26"/>
        </w:rPr>
        <w:t>ai fini del</w:t>
      </w:r>
      <w:r>
        <w:rPr>
          <w:rFonts w:ascii="Times New Roman" w:hAnsi="Times New Roman" w:cs="Times New Roman"/>
          <w:sz w:val="26"/>
          <w:szCs w:val="26"/>
        </w:rPr>
        <w:t>la fissazione dell’udienza permette</w:t>
      </w:r>
      <w:r w:rsidR="00772E0B">
        <w:rPr>
          <w:rFonts w:ascii="Times New Roman" w:hAnsi="Times New Roman" w:cs="Times New Roman"/>
          <w:sz w:val="26"/>
          <w:szCs w:val="26"/>
        </w:rPr>
        <w:t xml:space="preserve"> infatti non solo</w:t>
      </w:r>
      <w:r>
        <w:rPr>
          <w:rFonts w:ascii="Times New Roman" w:hAnsi="Times New Roman" w:cs="Times New Roman"/>
          <w:sz w:val="26"/>
          <w:szCs w:val="26"/>
        </w:rPr>
        <w:t xml:space="preserve"> </w:t>
      </w:r>
      <w:r w:rsidR="00772E0B">
        <w:rPr>
          <w:rFonts w:ascii="Times New Roman" w:hAnsi="Times New Roman" w:cs="Times New Roman"/>
          <w:sz w:val="26"/>
          <w:szCs w:val="26"/>
        </w:rPr>
        <w:t>di garantire al meglio la tutela del</w:t>
      </w:r>
      <w:r>
        <w:rPr>
          <w:rFonts w:ascii="Times New Roman" w:hAnsi="Times New Roman" w:cs="Times New Roman"/>
          <w:sz w:val="26"/>
          <w:szCs w:val="26"/>
        </w:rPr>
        <w:t xml:space="preserve"> diritto </w:t>
      </w:r>
      <w:r w:rsidR="00772E0B">
        <w:rPr>
          <w:rFonts w:ascii="Times New Roman" w:hAnsi="Times New Roman" w:cs="Times New Roman"/>
          <w:sz w:val="26"/>
          <w:szCs w:val="26"/>
        </w:rPr>
        <w:t xml:space="preserve">alla </w:t>
      </w:r>
      <w:r>
        <w:rPr>
          <w:rFonts w:ascii="Times New Roman" w:hAnsi="Times New Roman" w:cs="Times New Roman"/>
          <w:sz w:val="26"/>
          <w:szCs w:val="26"/>
        </w:rPr>
        <w:t xml:space="preserve">difesa </w:t>
      </w:r>
      <w:r w:rsidR="00772E0B">
        <w:rPr>
          <w:rFonts w:ascii="Times New Roman" w:hAnsi="Times New Roman" w:cs="Times New Roman"/>
          <w:sz w:val="26"/>
          <w:szCs w:val="26"/>
        </w:rPr>
        <w:t xml:space="preserve">di parte convenuta, ma </w:t>
      </w:r>
      <w:r w:rsidR="00772E0B">
        <w:rPr>
          <w:rFonts w:ascii="Times New Roman" w:hAnsi="Times New Roman" w:cs="Times New Roman"/>
          <w:sz w:val="26"/>
          <w:szCs w:val="26"/>
        </w:rPr>
        <w:lastRenderedPageBreak/>
        <w:t xml:space="preserve">anche di favorire </w:t>
      </w:r>
      <w:r>
        <w:rPr>
          <w:rFonts w:ascii="Times New Roman" w:hAnsi="Times New Roman" w:cs="Times New Roman"/>
          <w:sz w:val="26"/>
          <w:szCs w:val="26"/>
        </w:rPr>
        <w:t>allo stesso tempo la possibilità che in sede di ATP si giunga ad una conciliazione.</w:t>
      </w:r>
    </w:p>
    <w:p w14:paraId="76DD732F" w14:textId="77777777" w:rsidR="00B23C5A" w:rsidRDefault="00B23C5A" w:rsidP="00B23C5A">
      <w:pPr>
        <w:spacing w:line="360" w:lineRule="auto"/>
        <w:jc w:val="both"/>
        <w:rPr>
          <w:rFonts w:ascii="Times New Roman" w:hAnsi="Times New Roman" w:cs="Times New Roman"/>
          <w:sz w:val="26"/>
          <w:szCs w:val="26"/>
        </w:rPr>
      </w:pPr>
      <w:r>
        <w:rPr>
          <w:rFonts w:ascii="Times New Roman" w:hAnsi="Times New Roman" w:cs="Times New Roman"/>
          <w:sz w:val="26"/>
          <w:szCs w:val="26"/>
        </w:rPr>
        <w:t>Si stabilisce che quindi ciascun giudice fissi la comparizione delle parti e del CTU per la nomina tra i 40 e i 60 giorni dalla assegnazione del fascicolo.</w:t>
      </w:r>
    </w:p>
    <w:p w14:paraId="2898CFCE" w14:textId="77777777" w:rsidR="00B23C5A" w:rsidRDefault="00B23C5A" w:rsidP="00B23C5A">
      <w:pPr>
        <w:spacing w:line="360" w:lineRule="auto"/>
        <w:jc w:val="both"/>
        <w:rPr>
          <w:rFonts w:ascii="Times New Roman" w:hAnsi="Times New Roman" w:cs="Times New Roman"/>
          <w:sz w:val="26"/>
          <w:szCs w:val="26"/>
        </w:rPr>
      </w:pPr>
      <w:r>
        <w:rPr>
          <w:rFonts w:ascii="Times New Roman" w:hAnsi="Times New Roman" w:cs="Times New Roman"/>
          <w:sz w:val="26"/>
          <w:szCs w:val="26"/>
        </w:rPr>
        <w:t>Il Presidente di Sezione curerà che il fascicolo sia assegnato al giudice titolare entro pochi giorni dal pervenimento dal ruolo generale dando priorità a tali assegnazioni.</w:t>
      </w:r>
    </w:p>
    <w:p w14:paraId="0968E3E3" w14:textId="77777777" w:rsidR="00B23C5A" w:rsidRDefault="00B23C5A" w:rsidP="00B23C5A">
      <w:pPr>
        <w:spacing w:line="360" w:lineRule="auto"/>
        <w:jc w:val="both"/>
        <w:rPr>
          <w:rFonts w:ascii="Times New Roman" w:hAnsi="Times New Roman" w:cs="Times New Roman"/>
          <w:sz w:val="26"/>
          <w:szCs w:val="26"/>
        </w:rPr>
      </w:pPr>
    </w:p>
    <w:p w14:paraId="17FB2AF9" w14:textId="77777777" w:rsidR="00B23C5A" w:rsidRPr="00E66A59" w:rsidRDefault="00B23C5A" w:rsidP="00B23C5A">
      <w:pPr>
        <w:pStyle w:val="Titolo2"/>
        <w:numPr>
          <w:ilvl w:val="1"/>
          <w:numId w:val="2"/>
        </w:numPr>
      </w:pPr>
      <w:bookmarkStart w:id="11" w:name="_Toc13051021"/>
      <w:bookmarkStart w:id="12" w:name="_Toc26897769"/>
      <w:r w:rsidRPr="00E66A59">
        <w:t>Termini per la CTU</w:t>
      </w:r>
      <w:bookmarkEnd w:id="11"/>
      <w:bookmarkEnd w:id="12"/>
      <w:r w:rsidRPr="00E66A59">
        <w:t xml:space="preserve"> </w:t>
      </w:r>
    </w:p>
    <w:p w14:paraId="19AC4C14" w14:textId="77777777" w:rsidR="00B23C5A" w:rsidRDefault="00B23C5A" w:rsidP="00B23C5A">
      <w:pPr>
        <w:spacing w:line="360" w:lineRule="auto"/>
        <w:jc w:val="both"/>
        <w:rPr>
          <w:rFonts w:ascii="Times New Roman" w:hAnsi="Times New Roman" w:cs="Times New Roman"/>
          <w:sz w:val="26"/>
          <w:szCs w:val="26"/>
        </w:rPr>
      </w:pPr>
    </w:p>
    <w:p w14:paraId="01EF68E5" w14:textId="5800EB27" w:rsidR="00B23C5A" w:rsidRDefault="00B23C5A" w:rsidP="00B23C5A">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Si conferma di applicare, anche in </w:t>
      </w:r>
      <w:r w:rsidR="00772E0B">
        <w:rPr>
          <w:rFonts w:ascii="Times New Roman" w:hAnsi="Times New Roman" w:cs="Times New Roman"/>
          <w:sz w:val="26"/>
          <w:szCs w:val="26"/>
        </w:rPr>
        <w:t xml:space="preserve">sede di </w:t>
      </w:r>
      <w:r>
        <w:rPr>
          <w:rFonts w:ascii="Times New Roman" w:hAnsi="Times New Roman" w:cs="Times New Roman"/>
          <w:sz w:val="26"/>
          <w:szCs w:val="26"/>
        </w:rPr>
        <w:t xml:space="preserve">ATP, la regola dei 15 + 15 giorni per </w:t>
      </w:r>
      <w:r w:rsidR="00772E0B">
        <w:rPr>
          <w:rFonts w:ascii="Times New Roman" w:hAnsi="Times New Roman" w:cs="Times New Roman"/>
          <w:sz w:val="26"/>
          <w:szCs w:val="26"/>
        </w:rPr>
        <w:t xml:space="preserve">la </w:t>
      </w:r>
      <w:r>
        <w:rPr>
          <w:rFonts w:ascii="Times New Roman" w:hAnsi="Times New Roman" w:cs="Times New Roman"/>
          <w:sz w:val="26"/>
          <w:szCs w:val="26"/>
        </w:rPr>
        <w:t>sottoposizione della bozza di CTU ai CTP,</w:t>
      </w:r>
      <w:r w:rsidR="00772E0B">
        <w:rPr>
          <w:rFonts w:ascii="Times New Roman" w:hAnsi="Times New Roman" w:cs="Times New Roman"/>
          <w:sz w:val="26"/>
          <w:szCs w:val="26"/>
        </w:rPr>
        <w:t xml:space="preserve"> per le</w:t>
      </w:r>
      <w:r>
        <w:rPr>
          <w:rFonts w:ascii="Times New Roman" w:hAnsi="Times New Roman" w:cs="Times New Roman"/>
          <w:sz w:val="26"/>
          <w:szCs w:val="26"/>
        </w:rPr>
        <w:t xml:space="preserve"> osservazioni degli stessi e </w:t>
      </w:r>
      <w:r w:rsidR="00772E0B">
        <w:rPr>
          <w:rFonts w:ascii="Times New Roman" w:hAnsi="Times New Roman" w:cs="Times New Roman"/>
          <w:sz w:val="26"/>
          <w:szCs w:val="26"/>
        </w:rPr>
        <w:t xml:space="preserve">la </w:t>
      </w:r>
      <w:r>
        <w:rPr>
          <w:rFonts w:ascii="Times New Roman" w:hAnsi="Times New Roman" w:cs="Times New Roman"/>
          <w:sz w:val="26"/>
          <w:szCs w:val="26"/>
        </w:rPr>
        <w:t>stesura della bozza definitiva.</w:t>
      </w:r>
    </w:p>
    <w:p w14:paraId="5897D38F" w14:textId="679B6547" w:rsidR="00B23C5A" w:rsidRDefault="00B23C5A" w:rsidP="00B23C5A">
      <w:pPr>
        <w:spacing w:line="360" w:lineRule="auto"/>
        <w:jc w:val="both"/>
        <w:rPr>
          <w:rFonts w:ascii="Times New Roman" w:hAnsi="Times New Roman" w:cs="Times New Roman"/>
          <w:sz w:val="26"/>
          <w:szCs w:val="26"/>
        </w:rPr>
      </w:pPr>
      <w:r>
        <w:rPr>
          <w:rFonts w:ascii="Times New Roman" w:hAnsi="Times New Roman" w:cs="Times New Roman"/>
          <w:sz w:val="26"/>
          <w:szCs w:val="26"/>
        </w:rPr>
        <w:t>Quindi, ad esempio, se vengono concessi 90 giorni complessivi</w:t>
      </w:r>
      <w:r w:rsidR="00772E0B">
        <w:rPr>
          <w:rFonts w:ascii="Times New Roman" w:hAnsi="Times New Roman" w:cs="Times New Roman"/>
          <w:sz w:val="26"/>
          <w:szCs w:val="26"/>
        </w:rPr>
        <w:t>,</w:t>
      </w:r>
      <w:r>
        <w:rPr>
          <w:rFonts w:ascii="Times New Roman" w:hAnsi="Times New Roman" w:cs="Times New Roman"/>
          <w:sz w:val="26"/>
          <w:szCs w:val="26"/>
        </w:rPr>
        <w:t xml:space="preserve"> i termini per la CTU saranno i seguenti: 60 + 15 + 15 = 90 (comprensivi quindi del contraddittorio tecnico). </w:t>
      </w:r>
    </w:p>
    <w:p w14:paraId="539C01E5" w14:textId="77777777" w:rsidR="00B23C5A" w:rsidRDefault="00B23C5A" w:rsidP="00B23C5A">
      <w:pPr>
        <w:spacing w:line="360" w:lineRule="auto"/>
        <w:jc w:val="both"/>
        <w:rPr>
          <w:rFonts w:ascii="Times New Roman" w:hAnsi="Times New Roman" w:cs="Times New Roman"/>
          <w:sz w:val="26"/>
          <w:szCs w:val="26"/>
        </w:rPr>
      </w:pPr>
      <w:r>
        <w:rPr>
          <w:rFonts w:ascii="Times New Roman" w:hAnsi="Times New Roman" w:cs="Times New Roman"/>
          <w:sz w:val="26"/>
          <w:szCs w:val="26"/>
        </w:rPr>
        <w:t>Qualora tali termini cadano in periodo di sospensione feriale non si terrà conto di quest’ultima: valuterà il giudice, sentite le parti e il CTU, se concedere in questo caso un termine di base più lungo per superare il periodo di sospensione feriale.</w:t>
      </w:r>
    </w:p>
    <w:p w14:paraId="2301A315" w14:textId="77777777" w:rsidR="00287CA5" w:rsidRDefault="00287CA5"/>
    <w:sectPr w:rsidR="00287CA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B6D98"/>
    <w:multiLevelType w:val="hybridMultilevel"/>
    <w:tmpl w:val="E05E14FC"/>
    <w:lvl w:ilvl="0" w:tplc="950ED550">
      <w:start w:val="2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0704005"/>
    <w:multiLevelType w:val="hybridMultilevel"/>
    <w:tmpl w:val="517ED83C"/>
    <w:lvl w:ilvl="0" w:tplc="D972854C">
      <w:numFmt w:val="bullet"/>
      <w:lvlText w:val=""/>
      <w:lvlJc w:val="left"/>
      <w:pPr>
        <w:ind w:left="720" w:hanging="360"/>
      </w:pPr>
      <w:rPr>
        <w:rFonts w:ascii="Wingdings" w:eastAsiaTheme="minorHAnsi"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7057EE9"/>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C5A"/>
    <w:rsid w:val="000F08B9"/>
    <w:rsid w:val="00136A07"/>
    <w:rsid w:val="001E4326"/>
    <w:rsid w:val="00213BA2"/>
    <w:rsid w:val="00287CA5"/>
    <w:rsid w:val="002A3C72"/>
    <w:rsid w:val="00414223"/>
    <w:rsid w:val="00655F09"/>
    <w:rsid w:val="00693354"/>
    <w:rsid w:val="006A0E1F"/>
    <w:rsid w:val="00772E0B"/>
    <w:rsid w:val="00910B3D"/>
    <w:rsid w:val="00913ECE"/>
    <w:rsid w:val="009B068B"/>
    <w:rsid w:val="00A91242"/>
    <w:rsid w:val="00B042CD"/>
    <w:rsid w:val="00B23C5A"/>
    <w:rsid w:val="00B35564"/>
    <w:rsid w:val="00B9620E"/>
    <w:rsid w:val="00BB4A22"/>
    <w:rsid w:val="00C96943"/>
    <w:rsid w:val="00D91AB9"/>
    <w:rsid w:val="00DE4ECB"/>
    <w:rsid w:val="00E00947"/>
    <w:rsid w:val="00EB3858"/>
    <w:rsid w:val="00EF0CD4"/>
    <w:rsid w:val="00F55A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99ACF"/>
  <w15:docId w15:val="{961B25F7-3228-4602-B4A9-583A685CF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23C5A"/>
    <w:pPr>
      <w:spacing w:after="0" w:line="240" w:lineRule="auto"/>
    </w:pPr>
    <w:rPr>
      <w:sz w:val="24"/>
      <w:szCs w:val="24"/>
    </w:rPr>
  </w:style>
  <w:style w:type="paragraph" w:styleId="Titolo1">
    <w:name w:val="heading 1"/>
    <w:basedOn w:val="Normale"/>
    <w:next w:val="Normale"/>
    <w:link w:val="Titolo1Carattere"/>
    <w:uiPriority w:val="9"/>
    <w:qFormat/>
    <w:rsid w:val="00B23C5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B23C5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23C5A"/>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rsid w:val="00B23C5A"/>
    <w:rPr>
      <w:rFonts w:asciiTheme="majorHAnsi" w:eastAsiaTheme="majorEastAsia" w:hAnsiTheme="majorHAnsi" w:cstheme="majorBidi"/>
      <w:color w:val="2F5496" w:themeColor="accent1" w:themeShade="BF"/>
      <w:sz w:val="26"/>
      <w:szCs w:val="26"/>
    </w:rPr>
  </w:style>
  <w:style w:type="paragraph" w:styleId="Paragrafoelenco">
    <w:name w:val="List Paragraph"/>
    <w:basedOn w:val="Normale"/>
    <w:uiPriority w:val="34"/>
    <w:qFormat/>
    <w:rsid w:val="00B23C5A"/>
    <w:pPr>
      <w:ind w:left="720"/>
      <w:contextualSpacing/>
    </w:pPr>
  </w:style>
  <w:style w:type="paragraph" w:styleId="Titolo">
    <w:name w:val="Title"/>
    <w:basedOn w:val="Normale"/>
    <w:next w:val="Normale"/>
    <w:link w:val="TitoloCarattere"/>
    <w:uiPriority w:val="10"/>
    <w:qFormat/>
    <w:rsid w:val="00B23C5A"/>
    <w:pPr>
      <w:pBdr>
        <w:bottom w:val="single" w:sz="8" w:space="4" w:color="4F81BD"/>
      </w:pBdr>
      <w:overflowPunct w:val="0"/>
      <w:autoSpaceDE w:val="0"/>
      <w:autoSpaceDN w:val="0"/>
      <w:adjustRightInd w:val="0"/>
      <w:spacing w:after="300"/>
      <w:contextualSpacing/>
      <w:textAlignment w:val="baseline"/>
    </w:pPr>
    <w:rPr>
      <w:rFonts w:ascii="Cambria" w:eastAsia="Times New Roman" w:hAnsi="Cambria" w:cs="Times New Roman"/>
      <w:color w:val="17365D"/>
      <w:spacing w:val="5"/>
      <w:kern w:val="28"/>
      <w:sz w:val="52"/>
      <w:szCs w:val="52"/>
      <w:lang w:eastAsia="it-IT"/>
    </w:rPr>
  </w:style>
  <w:style w:type="character" w:customStyle="1" w:styleId="TitoloCarattere">
    <w:name w:val="Titolo Carattere"/>
    <w:basedOn w:val="Carpredefinitoparagrafo"/>
    <w:link w:val="Titolo"/>
    <w:uiPriority w:val="10"/>
    <w:rsid w:val="00B23C5A"/>
    <w:rPr>
      <w:rFonts w:ascii="Cambria" w:eastAsia="Times New Roman" w:hAnsi="Cambria" w:cs="Times New Roman"/>
      <w:color w:val="17365D"/>
      <w:spacing w:val="5"/>
      <w:kern w:val="28"/>
      <w:sz w:val="52"/>
      <w:szCs w:val="52"/>
      <w:lang w:eastAsia="it-IT"/>
    </w:rPr>
  </w:style>
  <w:style w:type="paragraph" w:styleId="Testofumetto">
    <w:name w:val="Balloon Text"/>
    <w:basedOn w:val="Normale"/>
    <w:link w:val="TestofumettoCarattere"/>
    <w:uiPriority w:val="99"/>
    <w:semiHidden/>
    <w:unhideWhenUsed/>
    <w:rsid w:val="00B23C5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23C5A"/>
    <w:rPr>
      <w:rFonts w:ascii="Segoe UI" w:hAnsi="Segoe UI" w:cs="Segoe UI"/>
      <w:sz w:val="18"/>
      <w:szCs w:val="18"/>
    </w:rPr>
  </w:style>
  <w:style w:type="paragraph" w:styleId="Titolosommario">
    <w:name w:val="TOC Heading"/>
    <w:basedOn w:val="Titolo1"/>
    <w:next w:val="Normale"/>
    <w:uiPriority w:val="39"/>
    <w:unhideWhenUsed/>
    <w:qFormat/>
    <w:rsid w:val="000F08B9"/>
    <w:pPr>
      <w:spacing w:line="259" w:lineRule="auto"/>
      <w:outlineLvl w:val="9"/>
    </w:pPr>
    <w:rPr>
      <w:lang w:eastAsia="it-IT"/>
    </w:rPr>
  </w:style>
  <w:style w:type="paragraph" w:styleId="Sommario1">
    <w:name w:val="toc 1"/>
    <w:basedOn w:val="Normale"/>
    <w:next w:val="Normale"/>
    <w:autoRedefine/>
    <w:uiPriority w:val="39"/>
    <w:unhideWhenUsed/>
    <w:rsid w:val="000F08B9"/>
    <w:pPr>
      <w:spacing w:after="100"/>
    </w:pPr>
  </w:style>
  <w:style w:type="paragraph" w:styleId="Sommario2">
    <w:name w:val="toc 2"/>
    <w:basedOn w:val="Normale"/>
    <w:next w:val="Normale"/>
    <w:autoRedefine/>
    <w:uiPriority w:val="39"/>
    <w:unhideWhenUsed/>
    <w:rsid w:val="000F08B9"/>
    <w:pPr>
      <w:spacing w:after="100"/>
      <w:ind w:left="240"/>
    </w:pPr>
  </w:style>
  <w:style w:type="character" w:styleId="Collegamentoipertestuale">
    <w:name w:val="Hyperlink"/>
    <w:basedOn w:val="Carpredefinitoparagrafo"/>
    <w:uiPriority w:val="99"/>
    <w:unhideWhenUsed/>
    <w:rsid w:val="000F08B9"/>
    <w:rPr>
      <w:color w:val="0563C1" w:themeColor="hyperlink"/>
      <w:u w:val="single"/>
    </w:rPr>
  </w:style>
  <w:style w:type="character" w:customStyle="1" w:styleId="Menzionenonrisolta1">
    <w:name w:val="Menzione non risolta1"/>
    <w:basedOn w:val="Carpredefinitoparagrafo"/>
    <w:uiPriority w:val="99"/>
    <w:semiHidden/>
    <w:unhideWhenUsed/>
    <w:rsid w:val="00D91AB9"/>
    <w:rPr>
      <w:color w:val="605E5C"/>
      <w:shd w:val="clear" w:color="auto" w:fill="E1DFDD"/>
    </w:rPr>
  </w:style>
  <w:style w:type="paragraph" w:styleId="Revisione">
    <w:name w:val="Revision"/>
    <w:hidden/>
    <w:uiPriority w:val="99"/>
    <w:semiHidden/>
    <w:rsid w:val="00B042CD"/>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italgiure.giustizia.it/xway/application/nif/isapi/hc.dll?host=&amp;port=-1&amp;_sid=%7b65FC2072%7d&amp;db=snciv&amp;verbo=query&amp;xverb=tit&amp;query=%5bnumero%20decisione%5d=27924%20AND%20%5banno%20decisione%5d=2018%20AND%20%5bsezione%5d=1&amp;user=&amp;uri=/xway/application/nif/isapi/hc.dll&amp;pwd=&amp;_hcf=&amp;_hca=&amp;cId=&amp;cIsPublic=&amp;cName=&amp;cquery=97922&amp;sele=&amp;selid=&amp;pos=&amp;lang=it"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794FC740F4DA5418070718AD39A9200" ma:contentTypeVersion="11" ma:contentTypeDescription="Creare un nuovo documento." ma:contentTypeScope="" ma:versionID="565f9287de066fde45952c97095a515f">
  <xsd:schema xmlns:xsd="http://www.w3.org/2001/XMLSchema" xmlns:xs="http://www.w3.org/2001/XMLSchema" xmlns:p="http://schemas.microsoft.com/office/2006/metadata/properties" xmlns:ns3="61d4e03b-f502-4d60-b0a4-55ca6a1dc078" xmlns:ns4="8c6449c5-1878-4f48-9269-5f4bd334c0a9" targetNamespace="http://schemas.microsoft.com/office/2006/metadata/properties" ma:root="true" ma:fieldsID="fc6925e71739ca4a7e805251856ce62c" ns3:_="" ns4:_="">
    <xsd:import namespace="61d4e03b-f502-4d60-b0a4-55ca6a1dc078"/>
    <xsd:import namespace="8c6449c5-1878-4f48-9269-5f4bd334c0a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d4e03b-f502-4d60-b0a4-55ca6a1dc0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6449c5-1878-4f48-9269-5f4bd334c0a9"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SharingHintHash" ma:index="18"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E99CF-38AE-48FE-BBD7-2D583DFDE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d4e03b-f502-4d60-b0a4-55ca6a1dc078"/>
    <ds:schemaRef ds:uri="8c6449c5-1878-4f48-9269-5f4bd334c0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184D3D-8246-4BF9-86B6-79A6EEE4C05C}">
  <ds:schemaRefs>
    <ds:schemaRef ds:uri="http://schemas.microsoft.com/sharepoint/v3/contenttype/forms"/>
  </ds:schemaRefs>
</ds:datastoreItem>
</file>

<file path=customXml/itemProps3.xml><?xml version="1.0" encoding="utf-8"?>
<ds:datastoreItem xmlns:ds="http://schemas.openxmlformats.org/officeDocument/2006/customXml" ds:itemID="{E8A438CD-98E4-423E-8D85-5C464F0691D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A630DA-3734-4A5E-A79F-5B2C27BCE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1342</Words>
  <Characters>7655</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Ministero della Giustizia</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Domenico Pellegrini</dc:creator>
  <cp:lastModifiedBy>Domenico Pellegrini</cp:lastModifiedBy>
  <cp:revision>2</cp:revision>
  <dcterms:created xsi:type="dcterms:W3CDTF">2019-12-10T18:21:00Z</dcterms:created>
  <dcterms:modified xsi:type="dcterms:W3CDTF">2019-12-10T18:21:00Z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0x010100F794FC740F4DA5418070718AD39A9200</vt:lpwstr>
  </property>
</Properties>
</file>