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A8" w:rsidRPr="00706635" w:rsidRDefault="00CA66A8" w:rsidP="00CA66A8">
      <w:pPr>
        <w:widowControl w:val="0"/>
        <w:spacing w:line="479" w:lineRule="atLeast"/>
        <w:jc w:val="center"/>
        <w:rPr>
          <w:lang w:val="en-US"/>
        </w:rPr>
      </w:pPr>
    </w:p>
    <w:p w:rsidR="00CA66A8" w:rsidRPr="009B5D7D" w:rsidRDefault="00064227" w:rsidP="00CA66A8">
      <w:pPr>
        <w:widowControl w:val="0"/>
        <w:spacing w:line="479" w:lineRule="atLeast"/>
        <w:jc w:val="center"/>
        <w:rPr>
          <w:b/>
          <w:caps/>
        </w:rPr>
      </w:pPr>
      <w:r w:rsidRPr="009B5D7D">
        <w:rPr>
          <w:noProof/>
        </w:rPr>
        <w:drawing>
          <wp:inline distT="0" distB="0" distL="0" distR="0" wp14:anchorId="2B95E7D1" wp14:editId="30EB035C">
            <wp:extent cx="769620" cy="781685"/>
            <wp:effectExtent l="0" t="0" r="0" b="0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A8" w:rsidRPr="009B5D7D" w:rsidRDefault="00CA66A8" w:rsidP="00CA66A8">
      <w:pPr>
        <w:widowControl w:val="0"/>
        <w:spacing w:line="479" w:lineRule="atLeast"/>
        <w:jc w:val="center"/>
        <w:rPr>
          <w:b/>
          <w:caps/>
        </w:rPr>
      </w:pPr>
      <w:r w:rsidRPr="009B5D7D">
        <w:rPr>
          <w:b/>
          <w:caps/>
        </w:rPr>
        <w:t>TRIBUNALE ORDINARIO DI GENOVA</w:t>
      </w:r>
    </w:p>
    <w:p w:rsidR="006E42EA" w:rsidRPr="009B5D7D" w:rsidRDefault="006E42EA" w:rsidP="00CA66A8">
      <w:pPr>
        <w:widowControl w:val="0"/>
        <w:spacing w:line="479" w:lineRule="atLeast"/>
        <w:jc w:val="center"/>
        <w:rPr>
          <w:b/>
          <w:caps/>
        </w:rPr>
      </w:pPr>
      <w:r w:rsidRPr="009B5D7D">
        <w:rPr>
          <w:b/>
          <w:caps/>
        </w:rPr>
        <w:t>SEZIONE IV CIVILE</w:t>
      </w:r>
    </w:p>
    <w:p w:rsidR="00AA4344" w:rsidRPr="009B5D7D" w:rsidRDefault="00AA4344" w:rsidP="00CA66A8">
      <w:pPr>
        <w:widowControl w:val="0"/>
        <w:spacing w:line="479" w:lineRule="atLeast"/>
        <w:jc w:val="center"/>
        <w:rPr>
          <w:b/>
          <w:caps/>
        </w:rPr>
      </w:pPr>
    </w:p>
    <w:p w:rsidR="00A40290" w:rsidRPr="005E7A74" w:rsidRDefault="00A40290" w:rsidP="00A40290">
      <w:pPr>
        <w:pStyle w:val="Titolo"/>
        <w:jc w:val="center"/>
        <w:rPr>
          <w:rFonts w:ascii="Times New Roman" w:hAnsi="Times New Roman"/>
          <w:sz w:val="36"/>
          <w:szCs w:val="36"/>
        </w:rPr>
      </w:pPr>
      <w:r w:rsidRPr="005E7A74">
        <w:rPr>
          <w:rFonts w:ascii="Times New Roman" w:hAnsi="Times New Roman"/>
          <w:sz w:val="36"/>
          <w:szCs w:val="36"/>
        </w:rPr>
        <w:t xml:space="preserve">Verbale </w:t>
      </w:r>
      <w:r w:rsidR="005E7A74" w:rsidRPr="005E7A74">
        <w:rPr>
          <w:rFonts w:ascii="Times New Roman" w:hAnsi="Times New Roman"/>
          <w:sz w:val="36"/>
          <w:szCs w:val="36"/>
        </w:rPr>
        <w:t xml:space="preserve">della riunione del 21dicembre </w:t>
      </w:r>
      <w:r w:rsidR="00545945" w:rsidRPr="005E7A74">
        <w:rPr>
          <w:rFonts w:ascii="Times New Roman" w:hAnsi="Times New Roman"/>
          <w:sz w:val="36"/>
          <w:szCs w:val="36"/>
        </w:rPr>
        <w:t>2017</w:t>
      </w:r>
    </w:p>
    <w:p w:rsidR="009559E8" w:rsidRPr="009B5D7D" w:rsidRDefault="009559E8" w:rsidP="009559E8">
      <w:pPr>
        <w:spacing w:line="360" w:lineRule="auto"/>
        <w:jc w:val="both"/>
        <w:rPr>
          <w:szCs w:val="24"/>
        </w:rPr>
      </w:pPr>
      <w:r w:rsidRPr="009B5D7D">
        <w:rPr>
          <w:szCs w:val="24"/>
          <w:u w:val="single"/>
        </w:rPr>
        <w:t>Art. 47 quater O.G. capo IV punto 35.1 della circolare sulla formazione delle tabelle</w:t>
      </w:r>
    </w:p>
    <w:p w:rsidR="009559E8" w:rsidRPr="009B5D7D" w:rsidRDefault="009559E8" w:rsidP="009559E8">
      <w:pPr>
        <w:spacing w:line="360" w:lineRule="auto"/>
        <w:jc w:val="both"/>
        <w:rPr>
          <w:szCs w:val="24"/>
        </w:rPr>
      </w:pPr>
    </w:p>
    <w:p w:rsidR="009559E8" w:rsidRPr="004F0D1A" w:rsidRDefault="009559E8" w:rsidP="009559E8">
      <w:pPr>
        <w:spacing w:line="360" w:lineRule="auto"/>
        <w:jc w:val="both"/>
        <w:rPr>
          <w:szCs w:val="24"/>
        </w:rPr>
      </w:pPr>
      <w:r w:rsidRPr="004F0D1A">
        <w:rPr>
          <w:szCs w:val="24"/>
        </w:rPr>
        <w:t xml:space="preserve">Il </w:t>
      </w:r>
      <w:r w:rsidR="005E7A74">
        <w:rPr>
          <w:szCs w:val="24"/>
        </w:rPr>
        <w:t>giorno 21 dicembre</w:t>
      </w:r>
      <w:r w:rsidR="003C69F3">
        <w:rPr>
          <w:szCs w:val="24"/>
        </w:rPr>
        <w:t xml:space="preserve"> 2017 alle ore 16.00</w:t>
      </w:r>
      <w:r w:rsidRPr="004F0D1A">
        <w:rPr>
          <w:szCs w:val="24"/>
        </w:rPr>
        <w:t xml:space="preserve"> sono pres</w:t>
      </w:r>
      <w:r w:rsidR="005E7A74">
        <w:rPr>
          <w:szCs w:val="24"/>
        </w:rPr>
        <w:t>enti il Presidente di Sezione, D</w:t>
      </w:r>
      <w:r w:rsidRPr="004F0D1A">
        <w:rPr>
          <w:szCs w:val="24"/>
        </w:rPr>
        <w:t>ott. Francesco Mazza Galanti e i giudici Laura Casale, Manuela Casella, Laura Cresta, Maria Antonia Di Lazzaro (estensore del presente verbale),</w:t>
      </w:r>
      <w:r w:rsidR="00067B7E">
        <w:rPr>
          <w:szCs w:val="24"/>
        </w:rPr>
        <w:t xml:space="preserve"> Domenico Pellegrini,</w:t>
      </w:r>
      <w:r w:rsidRPr="004F0D1A">
        <w:rPr>
          <w:szCs w:val="24"/>
        </w:rPr>
        <w:t xml:space="preserve"> Marina Pugliese, Paolo Viarengo.</w:t>
      </w:r>
    </w:p>
    <w:p w:rsidR="009559E8" w:rsidRPr="004F0D1A" w:rsidRDefault="009559E8" w:rsidP="009559E8">
      <w:pPr>
        <w:spacing w:line="360" w:lineRule="auto"/>
        <w:jc w:val="both"/>
        <w:rPr>
          <w:szCs w:val="24"/>
        </w:rPr>
      </w:pPr>
    </w:p>
    <w:p w:rsidR="00BA031C" w:rsidRDefault="00067B7E" w:rsidP="009559E8">
      <w:pPr>
        <w:spacing w:line="360" w:lineRule="auto"/>
        <w:jc w:val="both"/>
        <w:rPr>
          <w:szCs w:val="24"/>
        </w:rPr>
      </w:pPr>
      <w:r>
        <w:rPr>
          <w:szCs w:val="24"/>
        </w:rPr>
        <w:t>La Sezione</w:t>
      </w:r>
      <w:r w:rsidR="005E7A74">
        <w:rPr>
          <w:szCs w:val="24"/>
        </w:rPr>
        <w:t>, che già in occasione delle riunioni tenute</w:t>
      </w:r>
      <w:r w:rsidR="002C7C85">
        <w:rPr>
          <w:szCs w:val="24"/>
        </w:rPr>
        <w:t xml:space="preserve"> il 19 ottobre,</w:t>
      </w:r>
      <w:r w:rsidR="005E7A74">
        <w:rPr>
          <w:szCs w:val="24"/>
        </w:rPr>
        <w:t xml:space="preserve"> il 14 e il 18 dicembre aveva</w:t>
      </w:r>
      <w:r>
        <w:rPr>
          <w:szCs w:val="24"/>
        </w:rPr>
        <w:t xml:space="preserve"> </w:t>
      </w:r>
      <w:r w:rsidR="005E7A74">
        <w:rPr>
          <w:szCs w:val="24"/>
        </w:rPr>
        <w:t>approfondito la problematica riguardante</w:t>
      </w:r>
      <w:r w:rsidR="009559E8" w:rsidRPr="004F0D1A">
        <w:rPr>
          <w:szCs w:val="24"/>
        </w:rPr>
        <w:t xml:space="preserve"> </w:t>
      </w:r>
      <w:r w:rsidR="003C69F3">
        <w:rPr>
          <w:szCs w:val="24"/>
        </w:rPr>
        <w:t xml:space="preserve">la ammissibilità dei trasferimenti </w:t>
      </w:r>
      <w:r w:rsidR="003C69F3" w:rsidRPr="003C69F3">
        <w:rPr>
          <w:szCs w:val="24"/>
        </w:rPr>
        <w:t xml:space="preserve">immobiliari </w:t>
      </w:r>
      <w:r w:rsidR="003C69F3">
        <w:rPr>
          <w:szCs w:val="24"/>
        </w:rPr>
        <w:t>nell’ambito dei procedimenti di separazione e divorzio</w:t>
      </w:r>
      <w:r w:rsidR="005E7A74">
        <w:rPr>
          <w:szCs w:val="24"/>
        </w:rPr>
        <w:t xml:space="preserve">, </w:t>
      </w:r>
      <w:r w:rsidR="00BA031C">
        <w:rPr>
          <w:szCs w:val="24"/>
        </w:rPr>
        <w:t>nonché nei procedimenti camerali in materia di mantenimento dei figli nati fuori dal matrimonio</w:t>
      </w:r>
      <w:r w:rsidR="005E7A74">
        <w:rPr>
          <w:szCs w:val="24"/>
        </w:rPr>
        <w:t>, ritiene di dover</w:t>
      </w:r>
      <w:r w:rsidR="00681472">
        <w:rPr>
          <w:szCs w:val="24"/>
        </w:rPr>
        <w:t xml:space="preserve"> conferma</w:t>
      </w:r>
      <w:r w:rsidR="005E7A74">
        <w:rPr>
          <w:szCs w:val="24"/>
        </w:rPr>
        <w:t>re il mutato orientamento</w:t>
      </w:r>
      <w:r w:rsidR="00681472">
        <w:rPr>
          <w:szCs w:val="24"/>
        </w:rPr>
        <w:t xml:space="preserve"> giur</w:t>
      </w:r>
      <w:r w:rsidR="00BA031C">
        <w:rPr>
          <w:szCs w:val="24"/>
        </w:rPr>
        <w:t>isprudenziale</w:t>
      </w:r>
      <w:r w:rsidR="005E7A74">
        <w:rPr>
          <w:szCs w:val="24"/>
        </w:rPr>
        <w:t xml:space="preserve"> maturato nel corso delle menzionate riunioni, nel senso di precludere detti </w:t>
      </w:r>
      <w:r w:rsidR="00BA031C">
        <w:rPr>
          <w:szCs w:val="24"/>
        </w:rPr>
        <w:t>trasferimenti per le seguenti considerazioni:</w:t>
      </w:r>
    </w:p>
    <w:p w:rsidR="008B1B55" w:rsidRDefault="008B1B55" w:rsidP="009559E8">
      <w:pPr>
        <w:spacing w:line="360" w:lineRule="auto"/>
        <w:jc w:val="both"/>
        <w:rPr>
          <w:szCs w:val="24"/>
        </w:rPr>
      </w:pPr>
    </w:p>
    <w:p w:rsidR="00BA031C" w:rsidRPr="003767ED" w:rsidRDefault="00BA031C" w:rsidP="003767ED">
      <w:pPr>
        <w:pStyle w:val="Paragrafoelenco"/>
        <w:numPr>
          <w:ilvl w:val="0"/>
          <w:numId w:val="6"/>
        </w:numPr>
        <w:spacing w:line="360" w:lineRule="auto"/>
        <w:jc w:val="both"/>
        <w:rPr>
          <w:szCs w:val="24"/>
        </w:rPr>
      </w:pPr>
      <w:proofErr w:type="gramStart"/>
      <w:r w:rsidRPr="003767ED">
        <w:rPr>
          <w:szCs w:val="24"/>
        </w:rPr>
        <w:t>non</w:t>
      </w:r>
      <w:proofErr w:type="gramEnd"/>
      <w:r w:rsidRPr="003767ED">
        <w:rPr>
          <w:szCs w:val="24"/>
        </w:rPr>
        <w:t xml:space="preserve"> vi è la possibilità di individuare un soggetto che sia tenuto ad effettuare i controlli che, negli atti tra vivi, è</w:t>
      </w:r>
      <w:r w:rsidR="003767ED">
        <w:rPr>
          <w:szCs w:val="24"/>
        </w:rPr>
        <w:t xml:space="preserve"> </w:t>
      </w:r>
      <w:r w:rsidR="005E7A74">
        <w:rPr>
          <w:szCs w:val="24"/>
        </w:rPr>
        <w:t>chiamato ad eseguire il notaio:</w:t>
      </w:r>
      <w:r w:rsidRPr="003767ED">
        <w:rPr>
          <w:szCs w:val="24"/>
        </w:rPr>
        <w:t xml:space="preserve"> </w:t>
      </w:r>
      <w:r w:rsidR="003767ED" w:rsidRPr="003767ED">
        <w:rPr>
          <w:szCs w:val="24"/>
        </w:rPr>
        <w:t>il legislatore</w:t>
      </w:r>
      <w:r w:rsidR="003767ED">
        <w:rPr>
          <w:szCs w:val="24"/>
        </w:rPr>
        <w:t xml:space="preserve">, infatti  (cfr. </w:t>
      </w:r>
      <w:r w:rsidR="003767ED" w:rsidRPr="003767ED">
        <w:rPr>
          <w:szCs w:val="24"/>
        </w:rPr>
        <w:t>art. 29 c</w:t>
      </w:r>
      <w:r w:rsidR="003767ED">
        <w:rPr>
          <w:szCs w:val="24"/>
        </w:rPr>
        <w:t xml:space="preserve">omma 1 </w:t>
      </w:r>
      <w:r w:rsidR="003767ED" w:rsidRPr="005E7A74">
        <w:rPr>
          <w:i/>
          <w:szCs w:val="24"/>
        </w:rPr>
        <w:t>bis</w:t>
      </w:r>
      <w:r w:rsidR="003767ED">
        <w:rPr>
          <w:szCs w:val="24"/>
        </w:rPr>
        <w:t xml:space="preserve"> della legge 52/1985 </w:t>
      </w:r>
      <w:r w:rsidR="003767ED" w:rsidRPr="003767ED">
        <w:rPr>
          <w:szCs w:val="24"/>
        </w:rPr>
        <w:t>aggiun</w:t>
      </w:r>
      <w:r w:rsidR="005E7A74">
        <w:rPr>
          <w:szCs w:val="24"/>
        </w:rPr>
        <w:t>to dal D.L</w:t>
      </w:r>
      <w:r w:rsidR="003767ED" w:rsidRPr="003767ED">
        <w:rPr>
          <w:szCs w:val="24"/>
        </w:rPr>
        <w:t xml:space="preserve">. </w:t>
      </w:r>
      <w:r w:rsidR="005E7A74">
        <w:rPr>
          <w:szCs w:val="24"/>
        </w:rPr>
        <w:t>n. 78/2010, convertito nella L</w:t>
      </w:r>
      <w:r w:rsidR="003767ED" w:rsidRPr="003767ED">
        <w:rPr>
          <w:szCs w:val="24"/>
        </w:rPr>
        <w:t>egge</w:t>
      </w:r>
      <w:r w:rsidR="005E7A74">
        <w:rPr>
          <w:szCs w:val="24"/>
        </w:rPr>
        <w:t xml:space="preserve"> n.</w:t>
      </w:r>
      <w:r w:rsidR="003767ED" w:rsidRPr="003767ED">
        <w:rPr>
          <w:szCs w:val="24"/>
        </w:rPr>
        <w:t xml:space="preserve"> 122/2010) ha espressamente assegnato al notaio il compito della individuazione e della verifica catastale, nella fase di stesura degli atti traslativi; </w:t>
      </w:r>
    </w:p>
    <w:p w:rsidR="00BA031C" w:rsidRPr="003767ED" w:rsidRDefault="00BA031C" w:rsidP="00BA031C">
      <w:pPr>
        <w:pStyle w:val="Paragrafoelenco"/>
        <w:numPr>
          <w:ilvl w:val="0"/>
          <w:numId w:val="6"/>
        </w:numPr>
        <w:spacing w:line="360" w:lineRule="auto"/>
        <w:jc w:val="both"/>
        <w:rPr>
          <w:szCs w:val="24"/>
        </w:rPr>
      </w:pPr>
      <w:proofErr w:type="gramStart"/>
      <w:r w:rsidRPr="003767ED">
        <w:rPr>
          <w:szCs w:val="24"/>
        </w:rPr>
        <w:t>il</w:t>
      </w:r>
      <w:proofErr w:type="gramEnd"/>
      <w:r w:rsidRPr="003767ED">
        <w:rPr>
          <w:szCs w:val="24"/>
        </w:rPr>
        <w:t xml:space="preserve"> provvedimento giuri</w:t>
      </w:r>
      <w:r w:rsidR="005E7A74">
        <w:rPr>
          <w:szCs w:val="24"/>
        </w:rPr>
        <w:t>sdizionale avente ad oggetto</w:t>
      </w:r>
      <w:r w:rsidRPr="003767ED">
        <w:rPr>
          <w:szCs w:val="24"/>
        </w:rPr>
        <w:t xml:space="preserve"> il trasferimento del diritto reale, non può essere equiparato all'atto pubblico redatto da un notaio ai sensi della legge notarile;</w:t>
      </w:r>
    </w:p>
    <w:p w:rsidR="00BA031C" w:rsidRDefault="00BA031C" w:rsidP="00BA031C">
      <w:pPr>
        <w:pStyle w:val="Paragrafoelenco"/>
        <w:numPr>
          <w:ilvl w:val="0"/>
          <w:numId w:val="6"/>
        </w:numPr>
        <w:spacing w:line="360" w:lineRule="auto"/>
        <w:jc w:val="both"/>
        <w:rPr>
          <w:szCs w:val="24"/>
        </w:rPr>
      </w:pPr>
      <w:proofErr w:type="gramStart"/>
      <w:r w:rsidRPr="003767ED">
        <w:rPr>
          <w:szCs w:val="24"/>
        </w:rPr>
        <w:t>possono</w:t>
      </w:r>
      <w:proofErr w:type="gramEnd"/>
      <w:r w:rsidRPr="003767ED">
        <w:rPr>
          <w:szCs w:val="24"/>
        </w:rPr>
        <w:t xml:space="preserve"> configurarsi elusioni al regime fiscale per il differente regime di tassazione degli atti pubblici  rispetto agli  importi dovuti a titolo di contributo unificato</w:t>
      </w:r>
      <w:r w:rsidR="00695890">
        <w:rPr>
          <w:szCs w:val="24"/>
        </w:rPr>
        <w:t>;</w:t>
      </w:r>
    </w:p>
    <w:p w:rsidR="00695890" w:rsidRDefault="00695890" w:rsidP="00BA031C">
      <w:pPr>
        <w:pStyle w:val="Paragrafoelenco"/>
        <w:numPr>
          <w:ilvl w:val="0"/>
          <w:numId w:val="6"/>
        </w:numPr>
        <w:spacing w:line="360" w:lineRule="auto"/>
        <w:jc w:val="both"/>
        <w:rPr>
          <w:szCs w:val="24"/>
        </w:rPr>
      </w:pPr>
      <w:proofErr w:type="gramStart"/>
      <w:r>
        <w:rPr>
          <w:szCs w:val="24"/>
        </w:rPr>
        <w:lastRenderedPageBreak/>
        <w:t>l’obbligo</w:t>
      </w:r>
      <w:proofErr w:type="gramEnd"/>
      <w:r>
        <w:rPr>
          <w:szCs w:val="24"/>
        </w:rPr>
        <w:t xml:space="preserve"> del Cancelliere di curare la trascrizione deriva dal una norma fiscale (art. 6 TU imposte ipotecarie e catastali) che</w:t>
      </w:r>
      <w:r w:rsidR="005E7A74">
        <w:rPr>
          <w:szCs w:val="24"/>
        </w:rPr>
        <w:t>,</w:t>
      </w:r>
      <w:r>
        <w:rPr>
          <w:szCs w:val="24"/>
        </w:rPr>
        <w:t xml:space="preserve"> se violata</w:t>
      </w:r>
      <w:r w:rsidR="005E7A74">
        <w:rPr>
          <w:szCs w:val="24"/>
        </w:rPr>
        <w:t>,</w:t>
      </w:r>
      <w:r>
        <w:rPr>
          <w:szCs w:val="24"/>
        </w:rPr>
        <w:t xml:space="preserve"> determina una sanzione di tipo pecuniario e non la responsabilità prevista dall’art. 2671 c.c.;</w:t>
      </w:r>
    </w:p>
    <w:p w:rsidR="00695890" w:rsidRDefault="00695890" w:rsidP="00BA031C">
      <w:pPr>
        <w:pStyle w:val="Paragrafoelenco"/>
        <w:numPr>
          <w:ilvl w:val="0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non vi è alcuna disposizione che </w:t>
      </w:r>
      <w:r w:rsidR="00067B7E">
        <w:rPr>
          <w:szCs w:val="24"/>
        </w:rPr>
        <w:t xml:space="preserve">attribuisca </w:t>
      </w:r>
      <w:r>
        <w:rPr>
          <w:szCs w:val="24"/>
        </w:rPr>
        <w:t xml:space="preserve">al </w:t>
      </w:r>
      <w:r w:rsidR="00676AFD">
        <w:rPr>
          <w:szCs w:val="24"/>
        </w:rPr>
        <w:t xml:space="preserve">magistrato </w:t>
      </w:r>
      <w:r w:rsidR="00D122F5">
        <w:rPr>
          <w:szCs w:val="24"/>
        </w:rPr>
        <w:t xml:space="preserve">che </w:t>
      </w:r>
      <w:r w:rsidR="00067B7E">
        <w:rPr>
          <w:szCs w:val="24"/>
        </w:rPr>
        <w:t xml:space="preserve">sottoscrive </w:t>
      </w:r>
      <w:r w:rsidR="00D122F5">
        <w:rPr>
          <w:szCs w:val="24"/>
        </w:rPr>
        <w:t xml:space="preserve">il verbale </w:t>
      </w:r>
      <w:r w:rsidR="00067B7E">
        <w:rPr>
          <w:szCs w:val="24"/>
        </w:rPr>
        <w:t xml:space="preserve">avente ad oggetto un trasferimento immobiliare tra coniugi la prerogativa ed il potere </w:t>
      </w:r>
      <w:r w:rsidR="00D122F5">
        <w:rPr>
          <w:szCs w:val="24"/>
        </w:rPr>
        <w:t xml:space="preserve">di accertare l’identità delle </w:t>
      </w:r>
      <w:r>
        <w:rPr>
          <w:szCs w:val="24"/>
        </w:rPr>
        <w:t>p</w:t>
      </w:r>
      <w:r w:rsidR="00D122F5">
        <w:rPr>
          <w:szCs w:val="24"/>
        </w:rPr>
        <w:t>a</w:t>
      </w:r>
      <w:r>
        <w:rPr>
          <w:szCs w:val="24"/>
        </w:rPr>
        <w:t>rti, la relativa legittimazione a disporre, né di adeguare le dichiarazioni dei coniugi alla normativa vigente</w:t>
      </w:r>
      <w:r w:rsidR="00676AFD">
        <w:rPr>
          <w:szCs w:val="24"/>
        </w:rPr>
        <w:t xml:space="preserve"> </w:t>
      </w:r>
      <w:r w:rsidR="005E7A74">
        <w:rPr>
          <w:szCs w:val="24"/>
        </w:rPr>
        <w:t xml:space="preserve">, né di accertare </w:t>
      </w:r>
      <w:r>
        <w:rPr>
          <w:szCs w:val="24"/>
        </w:rPr>
        <w:t>la effettiva titolarità del bene e della sua libertà da ipoteche, vincoli, oneri o trascrizioni pregiudizievoli (cfr. obbligo di visure) ovvero della sua conformit</w:t>
      </w:r>
      <w:r w:rsidR="00676AFD">
        <w:rPr>
          <w:szCs w:val="24"/>
        </w:rPr>
        <w:t>à catastale: il magistrato, infatti, non è pubblico ufficiale con poteri certificativi e/o roganti;</w:t>
      </w:r>
    </w:p>
    <w:p w:rsidR="00676AFD" w:rsidRDefault="00676AFD" w:rsidP="00BA031C">
      <w:pPr>
        <w:pStyle w:val="Paragrafoelenco"/>
        <w:numPr>
          <w:ilvl w:val="0"/>
          <w:numId w:val="6"/>
        </w:numPr>
        <w:spacing w:line="360" w:lineRule="auto"/>
        <w:jc w:val="both"/>
        <w:rPr>
          <w:szCs w:val="24"/>
        </w:rPr>
      </w:pPr>
      <w:proofErr w:type="gramStart"/>
      <w:r>
        <w:rPr>
          <w:szCs w:val="24"/>
        </w:rPr>
        <w:t>nei</w:t>
      </w:r>
      <w:proofErr w:type="gramEnd"/>
      <w:r>
        <w:rPr>
          <w:szCs w:val="24"/>
        </w:rPr>
        <w:t xml:space="preserve"> casi di trasferimenti immobiliari  in favore dei figli si pone il problema della legittimità di un loro eventuale intervento nei giudizi di separazione e/o divorzio tra coniugi;</w:t>
      </w:r>
    </w:p>
    <w:p w:rsidR="00695890" w:rsidRDefault="00695890" w:rsidP="00BA031C">
      <w:pPr>
        <w:pStyle w:val="Paragrafoelenco"/>
        <w:numPr>
          <w:ilvl w:val="0"/>
          <w:numId w:val="6"/>
        </w:numPr>
        <w:spacing w:line="360" w:lineRule="auto"/>
        <w:jc w:val="both"/>
        <w:rPr>
          <w:szCs w:val="24"/>
        </w:rPr>
      </w:pPr>
      <w:proofErr w:type="gramStart"/>
      <w:r>
        <w:rPr>
          <w:szCs w:val="24"/>
        </w:rPr>
        <w:t>non</w:t>
      </w:r>
      <w:proofErr w:type="gramEnd"/>
      <w:r>
        <w:rPr>
          <w:szCs w:val="24"/>
        </w:rPr>
        <w:t xml:space="preserve"> vi è </w:t>
      </w:r>
      <w:r w:rsidR="00067B7E">
        <w:rPr>
          <w:szCs w:val="24"/>
        </w:rPr>
        <w:t xml:space="preserve">alcuna </w:t>
      </w:r>
      <w:r w:rsidR="00067B7E" w:rsidRPr="00067B7E">
        <w:rPr>
          <w:szCs w:val="24"/>
        </w:rPr>
        <w:t xml:space="preserve">disposizione che attribuisca al magistrato che sottoscrive il verbale avente ad oggetto un trasferimento immobiliare tra coniugi la prerogativa ed il potere di </w:t>
      </w:r>
      <w:r>
        <w:rPr>
          <w:szCs w:val="24"/>
        </w:rPr>
        <w:t xml:space="preserve">effettuare il controllo di legalità, come invece espressamente stabilito con riferimento al notaio dall’art. 28 l. notarile.   </w:t>
      </w:r>
    </w:p>
    <w:p w:rsidR="00BA031C" w:rsidRDefault="00BA031C" w:rsidP="00695890">
      <w:pPr>
        <w:spacing w:line="360" w:lineRule="auto"/>
        <w:ind w:left="360"/>
        <w:jc w:val="both"/>
        <w:rPr>
          <w:szCs w:val="24"/>
        </w:rPr>
      </w:pPr>
    </w:p>
    <w:p w:rsidR="00BA031C" w:rsidRPr="004F0D1A" w:rsidRDefault="00067B7E" w:rsidP="00067B7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La Sezione </w:t>
      </w:r>
      <w:r w:rsidR="00BA031C" w:rsidRPr="00BA031C">
        <w:rPr>
          <w:szCs w:val="24"/>
        </w:rPr>
        <w:t xml:space="preserve">stabilisce la data del </w:t>
      </w:r>
      <w:r w:rsidR="00BA031C" w:rsidRPr="00B960C6">
        <w:rPr>
          <w:b/>
          <w:szCs w:val="24"/>
        </w:rPr>
        <w:t>31 dicembre 2017</w:t>
      </w:r>
      <w:r w:rsidR="00BA031C">
        <w:rPr>
          <w:szCs w:val="24"/>
        </w:rPr>
        <w:t xml:space="preserve"> </w:t>
      </w:r>
      <w:r w:rsidR="002C7C85">
        <w:rPr>
          <w:szCs w:val="24"/>
        </w:rPr>
        <w:t xml:space="preserve">quale termine ultimo </w:t>
      </w:r>
      <w:bookmarkStart w:id="0" w:name="_GoBack"/>
      <w:bookmarkEnd w:id="0"/>
      <w:r w:rsidR="00BA031C" w:rsidRPr="00BA031C">
        <w:rPr>
          <w:szCs w:val="24"/>
        </w:rPr>
        <w:t>per consentire detti trasferimenti</w:t>
      </w:r>
      <w:r w:rsidR="00BA031C">
        <w:rPr>
          <w:szCs w:val="24"/>
        </w:rPr>
        <w:t xml:space="preserve"> (da intendersi quale data di deposito del ricorso)</w:t>
      </w:r>
      <w:r>
        <w:rPr>
          <w:szCs w:val="24"/>
        </w:rPr>
        <w:t xml:space="preserve">, previa </w:t>
      </w:r>
      <w:r w:rsidR="00BA031C" w:rsidRPr="004F0D1A">
        <w:rPr>
          <w:szCs w:val="24"/>
        </w:rPr>
        <w:t>pubblicizzazione del presente verbale che potrà essere citato dai giudici nei rispettivi provvedimenti</w:t>
      </w:r>
      <w:r w:rsidR="00563C88">
        <w:rPr>
          <w:szCs w:val="24"/>
        </w:rPr>
        <w:t>,</w:t>
      </w:r>
      <w:r w:rsidR="00BA031C" w:rsidRPr="004F0D1A">
        <w:rPr>
          <w:szCs w:val="24"/>
        </w:rPr>
        <w:t xml:space="preserve"> recependo così la </w:t>
      </w:r>
      <w:r w:rsidR="00BA031C">
        <w:rPr>
          <w:szCs w:val="24"/>
        </w:rPr>
        <w:t xml:space="preserve">nuova </w:t>
      </w:r>
      <w:r>
        <w:rPr>
          <w:szCs w:val="24"/>
        </w:rPr>
        <w:t>giurisprudenza della S</w:t>
      </w:r>
      <w:r w:rsidR="00BA031C" w:rsidRPr="004F0D1A">
        <w:rPr>
          <w:szCs w:val="24"/>
        </w:rPr>
        <w:t>ezione</w:t>
      </w:r>
      <w:r>
        <w:rPr>
          <w:szCs w:val="24"/>
        </w:rPr>
        <w:t xml:space="preserve"> stessa</w:t>
      </w:r>
      <w:r w:rsidR="00BA031C" w:rsidRPr="004F0D1A">
        <w:rPr>
          <w:szCs w:val="24"/>
        </w:rPr>
        <w:t xml:space="preserve">. </w:t>
      </w:r>
    </w:p>
    <w:p w:rsidR="009559E8" w:rsidRPr="004F0D1A" w:rsidRDefault="009559E8" w:rsidP="009559E8">
      <w:pPr>
        <w:spacing w:line="360" w:lineRule="auto"/>
        <w:jc w:val="both"/>
        <w:rPr>
          <w:szCs w:val="24"/>
        </w:rPr>
      </w:pPr>
    </w:p>
    <w:p w:rsidR="004F0D1A" w:rsidRDefault="004F0D1A" w:rsidP="004F0D1A">
      <w:pPr>
        <w:spacing w:line="360" w:lineRule="auto"/>
        <w:jc w:val="both"/>
        <w:textAlignment w:val="auto"/>
        <w:rPr>
          <w:szCs w:val="24"/>
        </w:rPr>
      </w:pPr>
    </w:p>
    <w:p w:rsidR="004F0D1A" w:rsidRPr="004F0D1A" w:rsidRDefault="004F0D1A" w:rsidP="004F0D1A">
      <w:pPr>
        <w:spacing w:line="360" w:lineRule="auto"/>
        <w:jc w:val="both"/>
        <w:textAlignment w:val="auto"/>
        <w:rPr>
          <w:szCs w:val="24"/>
        </w:rPr>
      </w:pPr>
      <w:r w:rsidRPr="004F0D1A">
        <w:rPr>
          <w:szCs w:val="24"/>
        </w:rPr>
        <w:t>Il Segretario</w:t>
      </w:r>
      <w:r w:rsidRPr="004F0D1A">
        <w:rPr>
          <w:szCs w:val="24"/>
        </w:rPr>
        <w:tab/>
      </w:r>
      <w:r w:rsidRPr="004F0D1A">
        <w:rPr>
          <w:szCs w:val="24"/>
        </w:rPr>
        <w:tab/>
      </w:r>
      <w:r w:rsidRPr="004F0D1A">
        <w:rPr>
          <w:szCs w:val="24"/>
        </w:rPr>
        <w:tab/>
      </w:r>
      <w:r w:rsidRPr="004F0D1A">
        <w:rPr>
          <w:szCs w:val="24"/>
        </w:rPr>
        <w:tab/>
        <w:t xml:space="preserve">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F0D1A">
        <w:rPr>
          <w:szCs w:val="24"/>
        </w:rPr>
        <w:t xml:space="preserve"> Il Presidente della Sezione</w:t>
      </w:r>
    </w:p>
    <w:p w:rsidR="004F0D1A" w:rsidRPr="004F0D1A" w:rsidRDefault="004F0D1A" w:rsidP="004F0D1A">
      <w:pPr>
        <w:spacing w:line="360" w:lineRule="auto"/>
        <w:ind w:right="1133"/>
        <w:textAlignment w:val="auto"/>
        <w:rPr>
          <w:szCs w:val="24"/>
        </w:rPr>
      </w:pPr>
      <w:proofErr w:type="gramStart"/>
      <w:r>
        <w:rPr>
          <w:szCs w:val="24"/>
        </w:rPr>
        <w:t>Dott</w:t>
      </w:r>
      <w:r w:rsidRPr="004F0D1A">
        <w:rPr>
          <w:szCs w:val="24"/>
        </w:rPr>
        <w:t>.</w:t>
      </w:r>
      <w:r>
        <w:rPr>
          <w:szCs w:val="24"/>
        </w:rPr>
        <w:t xml:space="preserve">ssa </w:t>
      </w:r>
      <w:r w:rsidRPr="004F0D1A">
        <w:rPr>
          <w:szCs w:val="24"/>
        </w:rPr>
        <w:t xml:space="preserve"> Maria</w:t>
      </w:r>
      <w:proofErr w:type="gramEnd"/>
      <w:r w:rsidRPr="004F0D1A">
        <w:rPr>
          <w:szCs w:val="24"/>
        </w:rPr>
        <w:t xml:space="preserve"> Antonia Di Lazzaro</w:t>
      </w:r>
      <w:r w:rsidRPr="004F0D1A">
        <w:rPr>
          <w:szCs w:val="24"/>
        </w:rPr>
        <w:tab/>
        <w:t xml:space="preserve">  </w:t>
      </w:r>
      <w:r>
        <w:rPr>
          <w:szCs w:val="24"/>
        </w:rPr>
        <w:tab/>
      </w:r>
      <w:r>
        <w:rPr>
          <w:szCs w:val="24"/>
        </w:rPr>
        <w:tab/>
        <w:t xml:space="preserve">      Dott. </w:t>
      </w:r>
      <w:r w:rsidRPr="004F0D1A">
        <w:rPr>
          <w:szCs w:val="24"/>
        </w:rPr>
        <w:t xml:space="preserve"> Francesco Mazza Galanti</w:t>
      </w:r>
    </w:p>
    <w:p w:rsidR="00F54489" w:rsidRPr="004F0D1A" w:rsidRDefault="00F54489" w:rsidP="005C77CD">
      <w:pPr>
        <w:tabs>
          <w:tab w:val="left" w:pos="7938"/>
        </w:tabs>
        <w:spacing w:line="276" w:lineRule="auto"/>
        <w:ind w:right="-142"/>
        <w:jc w:val="both"/>
        <w:rPr>
          <w:szCs w:val="24"/>
        </w:rPr>
      </w:pPr>
    </w:p>
    <w:sectPr w:rsidR="00F54489" w:rsidRPr="004F0D1A" w:rsidSect="0054665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63" w:rsidRDefault="00B26063" w:rsidP="00E84E9E">
      <w:r>
        <w:separator/>
      </w:r>
    </w:p>
  </w:endnote>
  <w:endnote w:type="continuationSeparator" w:id="0">
    <w:p w:rsidR="00B26063" w:rsidRDefault="00B26063" w:rsidP="00E8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altName w:val="Candara"/>
    <w:panose1 w:val="020E08020403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782" w:rsidRDefault="009559E8" w:rsidP="00FA7163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</w:rPr>
    </w:pPr>
    <w:r>
      <w:rPr>
        <w:rFonts w:ascii="Cambria" w:hAnsi="Cambria"/>
      </w:rPr>
      <w:t xml:space="preserve">Verbale riunione 15.9.2016 ex art. 47 quater O.G. </w:t>
    </w:r>
    <w:r w:rsidR="00220F42">
      <w:rPr>
        <w:rFonts w:ascii="Cambria" w:hAnsi="Cambria"/>
      </w:rPr>
      <w:t xml:space="preserve"> </w:t>
    </w:r>
    <w:r w:rsidR="00FA7163">
      <w:rPr>
        <w:rFonts w:ascii="Cambria" w:hAnsi="Cambria"/>
      </w:rPr>
      <w:tab/>
    </w:r>
    <w:r w:rsidR="00AA4782">
      <w:rPr>
        <w:rFonts w:ascii="Cambria" w:hAnsi="Cambria"/>
      </w:rPr>
      <w:t xml:space="preserve">Pagina </w:t>
    </w:r>
    <w:r w:rsidR="001F57C7">
      <w:fldChar w:fldCharType="begin"/>
    </w:r>
    <w:r w:rsidR="001F57C7">
      <w:instrText xml:space="preserve"> PAGE   \* MERGEFORMAT </w:instrText>
    </w:r>
    <w:r w:rsidR="001F57C7">
      <w:fldChar w:fldCharType="separate"/>
    </w:r>
    <w:r w:rsidR="002C7C85" w:rsidRPr="002C7C85">
      <w:rPr>
        <w:rFonts w:ascii="Cambria" w:hAnsi="Cambria"/>
        <w:noProof/>
      </w:rPr>
      <w:t>2</w:t>
    </w:r>
    <w:r w:rsidR="001F57C7">
      <w:rPr>
        <w:rFonts w:ascii="Cambria" w:hAnsi="Cambria"/>
        <w:noProof/>
      </w:rPr>
      <w:fldChar w:fldCharType="end"/>
    </w:r>
  </w:p>
  <w:p w:rsidR="0054665E" w:rsidRDefault="005466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63" w:rsidRDefault="00B26063" w:rsidP="00E84E9E">
      <w:r>
        <w:separator/>
      </w:r>
    </w:p>
  </w:footnote>
  <w:footnote w:type="continuationSeparator" w:id="0">
    <w:p w:rsidR="00B26063" w:rsidRDefault="00B26063" w:rsidP="00E8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58" w:rsidRPr="00CB5958" w:rsidRDefault="00CB5958" w:rsidP="00CB5958">
    <w:pPr>
      <w:pStyle w:val="Intestazione"/>
      <w:tabs>
        <w:tab w:val="left" w:pos="2580"/>
        <w:tab w:val="left" w:pos="2985"/>
      </w:tabs>
      <w:spacing w:after="120" w:line="276" w:lineRule="auto"/>
      <w:rPr>
        <w:rFonts w:ascii="Albertus Extra Bold" w:hAnsi="Albertus Extra Bold"/>
        <w:color w:val="4F81BD"/>
        <w:sz w:val="22"/>
        <w:szCs w:val="22"/>
      </w:rPr>
    </w:pPr>
    <w:r w:rsidRPr="00CB5958">
      <w:rPr>
        <w:rFonts w:ascii="Albertus Extra Bold" w:hAnsi="Albertus Extra Bold"/>
        <w:b/>
        <w:bCs/>
        <w:color w:val="1F497D"/>
        <w:sz w:val="22"/>
        <w:szCs w:val="22"/>
      </w:rPr>
      <w:t xml:space="preserve">Tribunale di </w:t>
    </w:r>
    <w:proofErr w:type="gramStart"/>
    <w:r w:rsidRPr="00CB5958">
      <w:rPr>
        <w:rFonts w:ascii="Albertus Extra Bold" w:hAnsi="Albertus Extra Bold"/>
        <w:b/>
        <w:bCs/>
        <w:color w:val="1F497D"/>
        <w:sz w:val="22"/>
        <w:szCs w:val="22"/>
      </w:rPr>
      <w:t xml:space="preserve">Genova </w:t>
    </w:r>
    <w:r w:rsidR="008D71B3">
      <w:rPr>
        <w:rFonts w:ascii="Albertus Extra Bold" w:hAnsi="Albertus Extra Bold"/>
        <w:b/>
        <w:bCs/>
        <w:color w:val="1F497D"/>
        <w:sz w:val="22"/>
        <w:szCs w:val="22"/>
      </w:rPr>
      <w:t xml:space="preserve"> </w:t>
    </w:r>
    <w:r w:rsidR="008D71B3">
      <w:rPr>
        <w:rFonts w:ascii="Albertus Extra Bold" w:hAnsi="Albertus Extra Bold"/>
        <w:b/>
        <w:bCs/>
        <w:color w:val="1F497D"/>
        <w:sz w:val="22"/>
        <w:szCs w:val="22"/>
      </w:rPr>
      <w:tab/>
    </w:r>
    <w:proofErr w:type="gramEnd"/>
    <w:r w:rsidR="008D71B3">
      <w:rPr>
        <w:rFonts w:ascii="Albertus Extra Bold" w:hAnsi="Albertus Extra Bold"/>
        <w:b/>
        <w:bCs/>
        <w:color w:val="1F497D"/>
        <w:sz w:val="22"/>
        <w:szCs w:val="22"/>
      </w:rPr>
      <w:tab/>
    </w:r>
    <w:r w:rsidR="008D71B3">
      <w:rPr>
        <w:rFonts w:ascii="Albertus Extra Bold" w:hAnsi="Albertus Extra Bold"/>
        <w:b/>
        <w:bCs/>
        <w:color w:val="1F497D"/>
        <w:sz w:val="22"/>
        <w:szCs w:val="22"/>
      </w:rPr>
      <w:tab/>
    </w:r>
    <w:r w:rsidR="008D71B3">
      <w:rPr>
        <w:rFonts w:ascii="Albertus Extra Bold" w:hAnsi="Albertus Extra Bold"/>
        <w:b/>
        <w:bCs/>
        <w:color w:val="1F497D"/>
        <w:sz w:val="22"/>
        <w:szCs w:val="22"/>
      </w:rPr>
      <w:tab/>
      <w:t>Sezione Famiglia</w:t>
    </w:r>
  </w:p>
  <w:p w:rsidR="00CB5958" w:rsidRPr="00CB5958" w:rsidRDefault="00CB5958" w:rsidP="005B43C3">
    <w:pPr>
      <w:pStyle w:val="Intestazione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rPr>
        <w:color w:val="808080"/>
        <w:sz w:val="22"/>
        <w:szCs w:val="22"/>
      </w:rPr>
    </w:pPr>
  </w:p>
  <w:p w:rsidR="004375F9" w:rsidRDefault="004375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1676A"/>
    <w:multiLevelType w:val="hybridMultilevel"/>
    <w:tmpl w:val="529CC27A"/>
    <w:lvl w:ilvl="0" w:tplc="326A59D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874E1D"/>
    <w:multiLevelType w:val="hybridMultilevel"/>
    <w:tmpl w:val="E820D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243C27"/>
    <w:multiLevelType w:val="hybridMultilevel"/>
    <w:tmpl w:val="19EA77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E3"/>
    <w:multiLevelType w:val="hybridMultilevel"/>
    <w:tmpl w:val="1C4CEB3A"/>
    <w:lvl w:ilvl="0" w:tplc="A378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C2701"/>
    <w:multiLevelType w:val="hybridMultilevel"/>
    <w:tmpl w:val="FE6AA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029AB"/>
    <w:multiLevelType w:val="hybridMultilevel"/>
    <w:tmpl w:val="7D409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A8"/>
    <w:rsid w:val="000103D9"/>
    <w:rsid w:val="000303DC"/>
    <w:rsid w:val="00033858"/>
    <w:rsid w:val="000451B3"/>
    <w:rsid w:val="00064227"/>
    <w:rsid w:val="00067B7E"/>
    <w:rsid w:val="000D2151"/>
    <w:rsid w:val="001375F2"/>
    <w:rsid w:val="00143F76"/>
    <w:rsid w:val="0016435E"/>
    <w:rsid w:val="001928E9"/>
    <w:rsid w:val="001B21D5"/>
    <w:rsid w:val="001F57C7"/>
    <w:rsid w:val="00216DAF"/>
    <w:rsid w:val="00220F42"/>
    <w:rsid w:val="00235C1A"/>
    <w:rsid w:val="0025450B"/>
    <w:rsid w:val="00286BC9"/>
    <w:rsid w:val="00291FE8"/>
    <w:rsid w:val="002B1ED1"/>
    <w:rsid w:val="002C0E85"/>
    <w:rsid w:val="002C3D56"/>
    <w:rsid w:val="002C7C85"/>
    <w:rsid w:val="002E57DB"/>
    <w:rsid w:val="00310B62"/>
    <w:rsid w:val="00317115"/>
    <w:rsid w:val="003767ED"/>
    <w:rsid w:val="003A2481"/>
    <w:rsid w:val="003B3399"/>
    <w:rsid w:val="003C69F3"/>
    <w:rsid w:val="0040107B"/>
    <w:rsid w:val="004375F9"/>
    <w:rsid w:val="00463738"/>
    <w:rsid w:val="00472F4D"/>
    <w:rsid w:val="00494166"/>
    <w:rsid w:val="00494D7B"/>
    <w:rsid w:val="004F0D1A"/>
    <w:rsid w:val="00521265"/>
    <w:rsid w:val="00545945"/>
    <w:rsid w:val="0054665E"/>
    <w:rsid w:val="00563C88"/>
    <w:rsid w:val="005711A8"/>
    <w:rsid w:val="005B43C3"/>
    <w:rsid w:val="005C77CD"/>
    <w:rsid w:val="005E7A74"/>
    <w:rsid w:val="00612436"/>
    <w:rsid w:val="00676AFD"/>
    <w:rsid w:val="00681472"/>
    <w:rsid w:val="00695890"/>
    <w:rsid w:val="006A2288"/>
    <w:rsid w:val="006E42EA"/>
    <w:rsid w:val="007008FD"/>
    <w:rsid w:val="00706635"/>
    <w:rsid w:val="00793F80"/>
    <w:rsid w:val="00794038"/>
    <w:rsid w:val="0079731C"/>
    <w:rsid w:val="007D464C"/>
    <w:rsid w:val="00802288"/>
    <w:rsid w:val="008045CB"/>
    <w:rsid w:val="008154E7"/>
    <w:rsid w:val="008B1B55"/>
    <w:rsid w:val="008C6265"/>
    <w:rsid w:val="008D71B3"/>
    <w:rsid w:val="0090371F"/>
    <w:rsid w:val="00922F10"/>
    <w:rsid w:val="00944071"/>
    <w:rsid w:val="009559E8"/>
    <w:rsid w:val="00996F3C"/>
    <w:rsid w:val="009A2FCD"/>
    <w:rsid w:val="009B5D7D"/>
    <w:rsid w:val="009B5F69"/>
    <w:rsid w:val="009C4104"/>
    <w:rsid w:val="00A40290"/>
    <w:rsid w:val="00A83B8A"/>
    <w:rsid w:val="00A9633F"/>
    <w:rsid w:val="00AA4344"/>
    <w:rsid w:val="00AA4782"/>
    <w:rsid w:val="00AE0B1B"/>
    <w:rsid w:val="00AE15C6"/>
    <w:rsid w:val="00AF20F7"/>
    <w:rsid w:val="00B26063"/>
    <w:rsid w:val="00B960C6"/>
    <w:rsid w:val="00BA031C"/>
    <w:rsid w:val="00BB612E"/>
    <w:rsid w:val="00BC55E9"/>
    <w:rsid w:val="00C101C3"/>
    <w:rsid w:val="00C41619"/>
    <w:rsid w:val="00C90C3C"/>
    <w:rsid w:val="00CA66A8"/>
    <w:rsid w:val="00CB5958"/>
    <w:rsid w:val="00CF380B"/>
    <w:rsid w:val="00D03F06"/>
    <w:rsid w:val="00D122F5"/>
    <w:rsid w:val="00D12F03"/>
    <w:rsid w:val="00D218E2"/>
    <w:rsid w:val="00D3156C"/>
    <w:rsid w:val="00D861BA"/>
    <w:rsid w:val="00E2464D"/>
    <w:rsid w:val="00E71FB1"/>
    <w:rsid w:val="00E74070"/>
    <w:rsid w:val="00E84E9E"/>
    <w:rsid w:val="00EA204A"/>
    <w:rsid w:val="00F0496C"/>
    <w:rsid w:val="00F14826"/>
    <w:rsid w:val="00F37ADA"/>
    <w:rsid w:val="00F54489"/>
    <w:rsid w:val="00FA7163"/>
    <w:rsid w:val="00F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735E9F-1451-4391-B8AF-1BC9D233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66A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D861BA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6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66A8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84E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84E9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4E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84E9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1"/>
    <w:rsid w:val="004375F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CA83114FC164E92B68A1FC437B5B5FC">
    <w:name w:val="8CA83114FC164E92B68A1FC437B5B5FC"/>
    <w:rsid w:val="004375F9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4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8154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Paragrafoelenco">
    <w:name w:val="List Paragraph"/>
    <w:basedOn w:val="Normale"/>
    <w:uiPriority w:val="34"/>
    <w:qFormat/>
    <w:rsid w:val="008154E7"/>
    <w:pPr>
      <w:ind w:left="720"/>
      <w:contextualSpacing/>
    </w:pPr>
  </w:style>
  <w:style w:type="character" w:customStyle="1" w:styleId="Titolo1Carattere">
    <w:name w:val="Titolo 1 Carattere"/>
    <w:link w:val="Titolo1"/>
    <w:rsid w:val="00D861B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83E459-6AD6-4F1F-B621-02CEB981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NR.     /      R.G.  V.G. Sezione AS</vt:lpstr>
    </vt:vector>
  </TitlesOfParts>
  <Company>Ministero di Giustizia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NR.     /      R.G.  V.G. Sezione AS</dc:title>
  <dc:subject>Tribunale di Genova</dc:subject>
  <dc:creator>Giudice tutelare dr.Domenico Pellegrini</dc:creator>
  <cp:lastModifiedBy>Francesco Mazza Galanti</cp:lastModifiedBy>
  <cp:revision>4</cp:revision>
  <cp:lastPrinted>2012-01-09T13:57:00Z</cp:lastPrinted>
  <dcterms:created xsi:type="dcterms:W3CDTF">2017-12-20T19:41:00Z</dcterms:created>
  <dcterms:modified xsi:type="dcterms:W3CDTF">2017-12-20T19:42:00Z</dcterms:modified>
</cp:coreProperties>
</file>